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7445" w14:textId="77777777" w:rsidR="00BF56E6" w:rsidRPr="0009033B" w:rsidRDefault="00DA0CC4">
      <w:pPr>
        <w:pStyle w:val="Title"/>
        <w:rPr>
          <w:highlight w:val="none"/>
        </w:rPr>
      </w:pPr>
      <w:bookmarkStart w:id="0" w:name="_olbv764fj3er" w:colFirst="0" w:colLast="0"/>
      <w:bookmarkEnd w:id="0"/>
      <w:r w:rsidRPr="0009033B">
        <w:rPr>
          <w:highlight w:val="none"/>
        </w:rPr>
        <w:t>RDS/WHOIS and Data Protection Policy</w:t>
      </w:r>
    </w:p>
    <w:p w14:paraId="67042579" w14:textId="77777777" w:rsidR="00BF56E6" w:rsidRDefault="00DA0CC4">
      <w:pPr>
        <w:pBdr>
          <w:top w:val="single" w:sz="4" w:space="1" w:color="1F4E79"/>
          <w:bottom w:val="single" w:sz="4" w:space="1" w:color="1F4E79"/>
        </w:pBdr>
        <w:spacing w:after="200"/>
      </w:pPr>
      <w:r>
        <w:rPr>
          <w:b/>
          <w:color w:val="1F4E79"/>
          <w:sz w:val="26"/>
          <w:szCs w:val="26"/>
        </w:rPr>
        <w:t>Session 6</w:t>
      </w:r>
    </w:p>
    <w:p w14:paraId="251E8BD1" w14:textId="77777777" w:rsidR="00BF56E6" w:rsidRDefault="00DA0CC4">
      <w:pPr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>Contents</w:t>
      </w:r>
    </w:p>
    <w:p w14:paraId="1FE6AA3E" w14:textId="77777777" w:rsidR="00BF56E6" w:rsidRDefault="00BF56E6">
      <w:pPr>
        <w:rPr>
          <w:b/>
          <w:color w:val="1F4E79"/>
          <w:sz w:val="10"/>
          <w:szCs w:val="10"/>
        </w:rPr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615"/>
        <w:gridCol w:w="1905"/>
        <w:gridCol w:w="630"/>
        <w:gridCol w:w="1905"/>
        <w:gridCol w:w="570"/>
        <w:gridCol w:w="1635"/>
        <w:gridCol w:w="600"/>
      </w:tblGrid>
      <w:tr w:rsidR="00BF56E6" w14:paraId="432977BB" w14:textId="77777777">
        <w:trPr>
          <w:trHeight w:val="260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3F3F3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D3C7" w14:textId="77777777" w:rsidR="00BF56E6" w:rsidRDefault="00DA0CC4">
            <w:pPr>
              <w:tabs>
                <w:tab w:val="right" w:pos="9655"/>
              </w:tabs>
              <w:spacing w:before="0" w:line="240" w:lineRule="auto"/>
              <w:ind w:left="180"/>
              <w:rPr>
                <w:color w:val="1F4E79"/>
                <w:sz w:val="26"/>
                <w:szCs w:val="26"/>
              </w:rPr>
            </w:pPr>
            <w:r>
              <w:rPr>
                <w:color w:val="1F4E79"/>
              </w:rPr>
              <w:t>Session Objective</w:t>
            </w:r>
          </w:p>
        </w:tc>
        <w:tc>
          <w:tcPr>
            <w:tcW w:w="615" w:type="dxa"/>
            <w:tcBorders>
              <w:top w:val="single" w:sz="8" w:space="0" w:color="FFFFFF"/>
              <w:left w:val="single" w:sz="8" w:space="0" w:color="F3F3F3"/>
              <w:bottom w:val="single" w:sz="8" w:space="0" w:color="FFFFFF"/>
              <w:right w:val="single" w:sz="8" w:space="0" w:color="1F4E79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6F87" w14:textId="77777777" w:rsidR="00BF56E6" w:rsidRDefault="00DA0CC4">
            <w:pPr>
              <w:widowControl w:val="0"/>
              <w:spacing w:before="0" w:line="240" w:lineRule="auto"/>
              <w:rPr>
                <w:color w:val="1F4E79"/>
                <w:sz w:val="26"/>
                <w:szCs w:val="26"/>
              </w:rPr>
            </w:pPr>
            <w:r>
              <w:rPr>
                <w:color w:val="1F4E79"/>
                <w:sz w:val="26"/>
                <w:szCs w:val="26"/>
              </w:rPr>
              <w:t>p.1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1F4E79"/>
              <w:bottom w:val="single" w:sz="8" w:space="0" w:color="FFFFFF"/>
              <w:right w:val="single" w:sz="8" w:space="0" w:color="F3F3F3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802A" w14:textId="77777777" w:rsidR="00BF56E6" w:rsidRDefault="00DA0CC4">
            <w:pPr>
              <w:tabs>
                <w:tab w:val="right" w:pos="9655"/>
              </w:tabs>
              <w:spacing w:before="0" w:line="240" w:lineRule="auto"/>
              <w:ind w:left="180"/>
              <w:rPr>
                <w:color w:val="1F4E79"/>
              </w:rPr>
            </w:pPr>
            <w:hyperlink w:anchor="_18w0vqay3kpa">
              <w:r>
                <w:rPr>
                  <w:color w:val="1F4E79"/>
                </w:rPr>
                <w:t xml:space="preserve">Leadership </w:t>
              </w:r>
              <w:r>
                <w:rPr>
                  <w:color w:val="1F4E79"/>
                </w:rPr>
                <w:br/>
                <w:t xml:space="preserve">Proposal </w:t>
              </w:r>
              <w:r>
                <w:rPr>
                  <w:color w:val="1F4E79"/>
                </w:rPr>
                <w:br/>
                <w:t>for GAC Action</w:t>
              </w:r>
            </w:hyperlink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3F3F3"/>
              <w:bottom w:val="single" w:sz="8" w:space="0" w:color="FFFFFF"/>
              <w:right w:val="single" w:sz="8" w:space="0" w:color="1F4E79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70DF" w14:textId="77777777" w:rsidR="00BF56E6" w:rsidRDefault="00DA0CC4">
            <w:pPr>
              <w:widowControl w:val="0"/>
              <w:spacing w:before="0" w:line="240" w:lineRule="auto"/>
              <w:rPr>
                <w:color w:val="1F4E79"/>
                <w:sz w:val="26"/>
                <w:szCs w:val="26"/>
              </w:rPr>
            </w:pPr>
            <w:r>
              <w:rPr>
                <w:color w:val="1F4E79"/>
                <w:sz w:val="26"/>
                <w:szCs w:val="26"/>
              </w:rPr>
              <w:t>p.2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1F4E79"/>
              <w:bottom w:val="single" w:sz="8" w:space="0" w:color="FFFFFF"/>
              <w:right w:val="single" w:sz="8" w:space="0" w:color="F3F3F3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FBE6" w14:textId="77777777" w:rsidR="00BF56E6" w:rsidRDefault="00DA0CC4">
            <w:pPr>
              <w:tabs>
                <w:tab w:val="right" w:pos="9655"/>
              </w:tabs>
              <w:spacing w:before="0" w:line="240" w:lineRule="auto"/>
              <w:ind w:left="270"/>
              <w:rPr>
                <w:color w:val="1F4E79"/>
                <w:sz w:val="26"/>
                <w:szCs w:val="26"/>
              </w:rPr>
            </w:pPr>
            <w:hyperlink w:anchor="_xk4bgyp9xneb">
              <w:r>
                <w:rPr>
                  <w:color w:val="1F4E79"/>
                </w:rPr>
                <w:t xml:space="preserve">Current Status </w:t>
              </w:r>
              <w:r>
                <w:rPr>
                  <w:color w:val="1F4E79"/>
                </w:rPr>
                <w:br/>
                <w:t>and Recent Developments</w:t>
              </w:r>
            </w:hyperlink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3F3F3"/>
              <w:bottom w:val="single" w:sz="8" w:space="0" w:color="FFFFFF"/>
              <w:right w:val="single" w:sz="8" w:space="0" w:color="1F4E79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54B6" w14:textId="77777777" w:rsidR="00BF56E6" w:rsidRDefault="00DA0CC4">
            <w:pPr>
              <w:widowControl w:val="0"/>
              <w:spacing w:before="0" w:line="240" w:lineRule="auto"/>
              <w:rPr>
                <w:color w:val="1F4E79"/>
                <w:sz w:val="26"/>
                <w:szCs w:val="26"/>
              </w:rPr>
            </w:pPr>
            <w:r>
              <w:rPr>
                <w:color w:val="1F4E79"/>
                <w:sz w:val="26"/>
                <w:szCs w:val="26"/>
              </w:rPr>
              <w:t>p.3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1F4E79"/>
              <w:bottom w:val="single" w:sz="8" w:space="0" w:color="FFFFFF"/>
              <w:right w:val="single" w:sz="8" w:space="0" w:color="F3F3F3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29FC3" w14:textId="77777777" w:rsidR="00BF56E6" w:rsidRDefault="00DA0CC4">
            <w:pPr>
              <w:tabs>
                <w:tab w:val="right" w:pos="9655"/>
              </w:tabs>
              <w:spacing w:before="0" w:after="80" w:line="240" w:lineRule="auto"/>
              <w:ind w:left="270"/>
              <w:rPr>
                <w:color w:val="1F4E79"/>
                <w:sz w:val="26"/>
                <w:szCs w:val="26"/>
              </w:rPr>
            </w:pPr>
            <w:hyperlink w:anchor="_flm7inwykn4m">
              <w:r>
                <w:rPr>
                  <w:color w:val="1F4E79"/>
                </w:rPr>
                <w:t xml:space="preserve">Key </w:t>
              </w:r>
              <w:r>
                <w:rPr>
                  <w:color w:val="1F4E79"/>
                </w:rPr>
                <w:br/>
                <w:t>Reference Documents</w:t>
              </w:r>
            </w:hyperlink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3F3F3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DDEC" w14:textId="77777777" w:rsidR="00BF56E6" w:rsidRDefault="00DA0CC4">
            <w:pPr>
              <w:widowControl w:val="0"/>
              <w:spacing w:before="0" w:line="240" w:lineRule="auto"/>
              <w:rPr>
                <w:color w:val="1F4E79"/>
                <w:sz w:val="26"/>
                <w:szCs w:val="26"/>
              </w:rPr>
            </w:pPr>
            <w:r>
              <w:rPr>
                <w:color w:val="1F4E79"/>
                <w:sz w:val="26"/>
                <w:szCs w:val="26"/>
              </w:rPr>
              <w:t>p.8</w:t>
            </w:r>
          </w:p>
        </w:tc>
      </w:tr>
    </w:tbl>
    <w:p w14:paraId="28E32856" w14:textId="77777777" w:rsidR="00BF56E6" w:rsidRDefault="00BF56E6">
      <w:pPr>
        <w:rPr>
          <w:sz w:val="12"/>
          <w:szCs w:val="12"/>
        </w:rPr>
      </w:pPr>
    </w:p>
    <w:p w14:paraId="2D8F3832" w14:textId="77777777" w:rsidR="00BF56E6" w:rsidRDefault="00BF56E6">
      <w:pPr>
        <w:pStyle w:val="Heading2"/>
      </w:pPr>
      <w:bookmarkStart w:id="1" w:name="_owf17oq2gdts" w:colFirst="0" w:colLast="0"/>
      <w:bookmarkEnd w:id="1"/>
    </w:p>
    <w:p w14:paraId="6A6B9E8B" w14:textId="77777777" w:rsidR="00BF56E6" w:rsidRDefault="00DA0CC4">
      <w:pPr>
        <w:pStyle w:val="Heading2"/>
      </w:pPr>
      <w:bookmarkStart w:id="2" w:name="_459h4mn7jm6t" w:colFirst="0" w:colLast="0"/>
      <w:bookmarkEnd w:id="2"/>
      <w:r>
        <w:t>Session Objective</w:t>
      </w:r>
    </w:p>
    <w:p w14:paraId="3DAE262B" w14:textId="77777777" w:rsidR="00BF56E6" w:rsidRDefault="00DA0CC4">
      <w:pPr>
        <w:spacing w:after="240" w:line="271" w:lineRule="auto"/>
      </w:pPr>
      <w:r>
        <w:t xml:space="preserve">This session aims to discuss status and consider possible next steps for the GAC in relation to deliberations and implementation efforts aiming to establish a new WHOIS/Registration Data policy regime </w:t>
      </w:r>
      <w:proofErr w:type="gramStart"/>
      <w:r>
        <w:t>taking into account</w:t>
      </w:r>
      <w:proofErr w:type="gramEnd"/>
      <w:r>
        <w:t xml:space="preserve"> relevant Data Protection law. The G</w:t>
      </w:r>
      <w:r>
        <w:t xml:space="preserve">AC will be briefed on latest developments and related policy concerns, possibly in connection with EPDP Phase 1 Implementation, the System for Standardized Access and Disclosure (SSAD) proposed as part of EPDP Phase 2, EPDP Phase 2A Policy Recommendations </w:t>
      </w:r>
      <w:r>
        <w:t>regarding Legal vs. Natural Persons, and scoping of possible future policy work regarding accuracy of registration data.</w:t>
      </w:r>
      <w:r>
        <w:br/>
      </w:r>
    </w:p>
    <w:p w14:paraId="5CFB1A22" w14:textId="77777777" w:rsidR="00BF56E6" w:rsidRDefault="00DA0CC4">
      <w:pPr>
        <w:pStyle w:val="Heading2"/>
      </w:pPr>
      <w:bookmarkStart w:id="3" w:name="_k0e46hu3wed" w:colFirst="0" w:colLast="0"/>
      <w:bookmarkEnd w:id="3"/>
      <w:r>
        <w:t xml:space="preserve">Leadership Proposal for GAC Action </w:t>
      </w:r>
    </w:p>
    <w:p w14:paraId="28267460" w14:textId="77777777" w:rsidR="00BF56E6" w:rsidRDefault="00DA0CC4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b/>
        </w:rPr>
        <w:t>Consider providing further input to the ICANN Board</w:t>
      </w:r>
      <w:r>
        <w:t xml:space="preserve"> regarding the proposed Standardized System for</w:t>
      </w:r>
      <w:r>
        <w:t xml:space="preserve"> Access/Disclosure of Registration Data (SSAD), given ICANN org’s analysis of costs, benefits and risks in the </w:t>
      </w:r>
      <w:hyperlink r:id="rId7">
        <w:r>
          <w:rPr>
            <w:color w:val="1155CC"/>
            <w:u w:val="single"/>
          </w:rPr>
          <w:t>SSAD Operational Design Assessment</w:t>
        </w:r>
      </w:hyperlink>
      <w:r>
        <w:t xml:space="preserve"> (25 Jan. 2022) and the </w:t>
      </w:r>
      <w:r>
        <w:t xml:space="preserve">subsequent </w:t>
      </w:r>
      <w:hyperlink r:id="rId8">
        <w:r>
          <w:rPr>
            <w:color w:val="1155CC"/>
            <w:u w:val="single"/>
          </w:rPr>
          <w:t>request by the GNSO</w:t>
        </w:r>
      </w:hyperlink>
      <w:r>
        <w:t xml:space="preserve"> (27 April 2022) for the ICANN Board to pause consideration of these recommendations to enable the development of a proof of concept or SSAD Light, which ICANN org now also refers to as a “WHOIS Disclosure System”</w:t>
      </w:r>
      <w:r>
        <w:rPr>
          <w:vertAlign w:val="superscript"/>
        </w:rPr>
        <w:footnoteReference w:id="1"/>
      </w:r>
      <w:r>
        <w:t>.</w:t>
      </w:r>
    </w:p>
    <w:p w14:paraId="664B6189" w14:textId="77777777" w:rsidR="00BF56E6" w:rsidRDefault="00DA0CC4">
      <w:pPr>
        <w:numPr>
          <w:ilvl w:val="0"/>
          <w:numId w:val="4"/>
        </w:numPr>
        <w:spacing w:before="200"/>
      </w:pPr>
      <w:r>
        <w:rPr>
          <w:b/>
        </w:rPr>
        <w:t>Examine prospects of new policy develop</w:t>
      </w:r>
      <w:r>
        <w:rPr>
          <w:b/>
        </w:rPr>
        <w:t>ment in relation to accuracy of registration data</w:t>
      </w:r>
      <w:r>
        <w:t xml:space="preserve"> in gTLDs given delays and dependencies in the current GNSO Registration Data Accuracy (RDA) scoping effort</w:t>
      </w:r>
      <w:r>
        <w:rPr>
          <w:vertAlign w:val="superscript"/>
        </w:rPr>
        <w:footnoteReference w:id="2"/>
      </w:r>
      <w:r>
        <w:t>.</w:t>
      </w:r>
    </w:p>
    <w:p w14:paraId="74E9BCBA" w14:textId="77777777" w:rsidR="00BF56E6" w:rsidRDefault="00DA0CC4">
      <w:pPr>
        <w:numPr>
          <w:ilvl w:val="0"/>
          <w:numId w:val="4"/>
        </w:numPr>
        <w:spacing w:before="200"/>
      </w:pPr>
      <w:r>
        <w:rPr>
          <w:b/>
        </w:rPr>
        <w:t>Assess the public interest impacts of the current interim policy regime</w:t>
      </w:r>
      <w:r>
        <w:t xml:space="preserve"> for gTLD registration da</w:t>
      </w:r>
      <w:r>
        <w:t xml:space="preserve">ta, </w:t>
      </w:r>
      <w:proofErr w:type="gramStart"/>
      <w:r>
        <w:t>in light of</w:t>
      </w:r>
      <w:proofErr w:type="gramEnd"/>
      <w:r>
        <w:t>:</w:t>
      </w:r>
    </w:p>
    <w:p w14:paraId="45FA245B" w14:textId="77777777" w:rsidR="00BF56E6" w:rsidRDefault="00DA0CC4">
      <w:pPr>
        <w:numPr>
          <w:ilvl w:val="1"/>
          <w:numId w:val="4"/>
        </w:numPr>
        <w:spacing w:before="80"/>
      </w:pPr>
      <w:r>
        <w:rPr>
          <w:b/>
        </w:rPr>
        <w:lastRenderedPageBreak/>
        <w:t>Prospects of implementation of, and community concerns with policy recommendations</w:t>
      </w:r>
      <w:r>
        <w:t xml:space="preserve"> in Phase 1, Phase 2 and Phase 2A of the Expedited Policy Development Process (EPDP) on gTLD Registration </w:t>
      </w:r>
      <w:proofErr w:type="gramStart"/>
      <w:r>
        <w:t>Data;</w:t>
      </w:r>
      <w:proofErr w:type="gramEnd"/>
    </w:p>
    <w:p w14:paraId="28518968" w14:textId="77777777" w:rsidR="00BF56E6" w:rsidRDefault="00DA0CC4">
      <w:pPr>
        <w:numPr>
          <w:ilvl w:val="1"/>
          <w:numId w:val="4"/>
        </w:numPr>
        <w:spacing w:before="80"/>
      </w:pPr>
      <w:r>
        <w:rPr>
          <w:b/>
        </w:rPr>
        <w:t>Current experience of parties seeking registr</w:t>
      </w:r>
      <w:r>
        <w:rPr>
          <w:b/>
        </w:rPr>
        <w:t xml:space="preserve">ation data </w:t>
      </w:r>
      <w:r>
        <w:t>for a legitimate purpose</w:t>
      </w:r>
      <w:r>
        <w:rPr>
          <w:b/>
        </w:rPr>
        <w:t xml:space="preserve"> </w:t>
      </w:r>
      <w:r>
        <w:t>which may not align with the GAC’s Advice to “</w:t>
      </w:r>
      <w:r>
        <w:rPr>
          <w:i/>
        </w:rPr>
        <w:t xml:space="preserve">ensure that the current system that requires ‘reasonable </w:t>
      </w:r>
      <w:proofErr w:type="gramStart"/>
      <w:r>
        <w:rPr>
          <w:i/>
        </w:rPr>
        <w:t>access’</w:t>
      </w:r>
      <w:proofErr w:type="gramEnd"/>
      <w:r>
        <w:rPr>
          <w:i/>
        </w:rPr>
        <w:t xml:space="preserve"> to non-public domain name registration is operating effectively”</w:t>
      </w:r>
    </w:p>
    <w:p w14:paraId="5B112628" w14:textId="77777777" w:rsidR="00BF56E6" w:rsidRDefault="00DA0CC4">
      <w:pPr>
        <w:numPr>
          <w:ilvl w:val="1"/>
          <w:numId w:val="4"/>
        </w:numPr>
        <w:spacing w:before="80"/>
      </w:pPr>
      <w:r>
        <w:rPr>
          <w:b/>
        </w:rPr>
        <w:t>The continued impact of delayed implementati</w:t>
      </w:r>
      <w:r>
        <w:rPr>
          <w:b/>
        </w:rPr>
        <w:t>on of the privacy/proxy services accreditation policy recommendations</w:t>
      </w:r>
      <w:r>
        <w:t xml:space="preserve">. Despite GAC Advice to resume implementation of the Privacy/Proxy Accreditation Policy, this is still suspended and continues to delay the delivery of an accreditation program including </w:t>
      </w:r>
      <w:r>
        <w:t>a law enforcement disclosure framework.</w:t>
      </w:r>
    </w:p>
    <w:p w14:paraId="3BF1C265" w14:textId="77777777" w:rsidR="00BF56E6" w:rsidRDefault="00BF56E6">
      <w:pPr>
        <w:pStyle w:val="Heading2"/>
      </w:pPr>
      <w:bookmarkStart w:id="4" w:name="_ov5ar3ofe7gk" w:colFirst="0" w:colLast="0"/>
      <w:bookmarkEnd w:id="4"/>
    </w:p>
    <w:p w14:paraId="44BB6BD1" w14:textId="77777777" w:rsidR="00BF56E6" w:rsidRDefault="00DA0CC4">
      <w:pPr>
        <w:pStyle w:val="Heading2"/>
      </w:pPr>
      <w:bookmarkStart w:id="5" w:name="_vpluwq3vmhm3" w:colFirst="0" w:colLast="0"/>
      <w:bookmarkEnd w:id="5"/>
      <w:r>
        <w:t>Current Status and Recent Developments</w:t>
      </w:r>
    </w:p>
    <w:p w14:paraId="65240392" w14:textId="77777777" w:rsidR="00BF56E6" w:rsidRDefault="00DA0CC4">
      <w:pPr>
        <w:spacing w:before="280" w:line="271" w:lineRule="auto"/>
        <w:rPr>
          <w:b/>
        </w:rPr>
      </w:pPr>
      <w:r>
        <w:rPr>
          <w:b/>
        </w:rPr>
        <w:t>Most Recent Development</w:t>
      </w:r>
    </w:p>
    <w:p w14:paraId="31A9DF4B" w14:textId="77777777" w:rsidR="00BF56E6" w:rsidRDefault="00DA0CC4">
      <w:pPr>
        <w:numPr>
          <w:ilvl w:val="0"/>
          <w:numId w:val="1"/>
        </w:numPr>
        <w:spacing w:before="280" w:line="271" w:lineRule="auto"/>
      </w:pPr>
      <w:r>
        <w:rPr>
          <w:b/>
        </w:rPr>
        <w:t xml:space="preserve">Feasibility of a System for Standardized Access/Disclosure of Registration Data (SSAD) </w:t>
      </w:r>
      <w:r>
        <w:t>continues to be discussed between the GNSO Council, the ICANN Boa</w:t>
      </w:r>
      <w:r>
        <w:t>rd and ICANN org. A proposal for a Proof of Concept (or SSAD Light Design) is expected by ICANN75 at the earliest.</w:t>
      </w:r>
    </w:p>
    <w:p w14:paraId="5CE7FF42" w14:textId="77777777" w:rsidR="00BF56E6" w:rsidRDefault="00DA0CC4">
      <w:pPr>
        <w:numPr>
          <w:ilvl w:val="1"/>
          <w:numId w:val="1"/>
        </w:numPr>
      </w:pPr>
      <w:r>
        <w:t xml:space="preserve">The GNSO </w:t>
      </w:r>
      <w:hyperlink r:id="rId9" w:anchor="20200924-2">
        <w:r>
          <w:rPr>
            <w:color w:val="1155CC"/>
            <w:u w:val="single"/>
          </w:rPr>
          <w:t>resolution</w:t>
        </w:r>
      </w:hyperlink>
      <w:r>
        <w:t xml:space="preserve"> on the EPDP Phase 2 Final Report (2</w:t>
      </w:r>
      <w:r>
        <w:t xml:space="preserve">4 September 2020) </w:t>
      </w:r>
      <w:r>
        <w:rPr>
          <w:b/>
        </w:rPr>
        <w:t>adopted the 18 recommendations that seek to establish an SSAD</w:t>
      </w:r>
      <w:r>
        <w:t xml:space="preserve">, </w:t>
      </w:r>
      <w:r>
        <w:rPr>
          <w:b/>
        </w:rPr>
        <w:t>requesting a consultation with the ICANN Board</w:t>
      </w:r>
      <w:r>
        <w:t xml:space="preserve"> prior to its consideration of the policy recommendations </w:t>
      </w:r>
      <w:r>
        <w:rPr>
          <w:b/>
        </w:rPr>
        <w:t>to discuss “</w:t>
      </w:r>
      <w:r>
        <w:rPr>
          <w:b/>
          <w:i/>
        </w:rPr>
        <w:t xml:space="preserve">questions surrounding the financial sustainability of SSAD </w:t>
      </w:r>
      <w:r>
        <w:rPr>
          <w:b/>
          <w:i/>
        </w:rPr>
        <w:t>and some of the concerns expressed within the different minority statements”</w:t>
      </w:r>
      <w:r>
        <w:t>”</w:t>
      </w:r>
      <w:r>
        <w:rPr>
          <w:vertAlign w:val="superscript"/>
        </w:rPr>
        <w:footnoteReference w:id="3"/>
      </w:r>
      <w:r>
        <w:t>.</w:t>
      </w:r>
    </w:p>
    <w:p w14:paraId="4B387DF6" w14:textId="77777777" w:rsidR="00BF56E6" w:rsidRDefault="00DA0CC4">
      <w:pPr>
        <w:numPr>
          <w:ilvl w:val="1"/>
          <w:numId w:val="1"/>
        </w:numPr>
      </w:pPr>
      <w:r>
        <w:t xml:space="preserve">Prior to considering the GNSO’s SSAD Policy Recommendations, </w:t>
      </w:r>
      <w:r>
        <w:rPr>
          <w:b/>
        </w:rPr>
        <w:t xml:space="preserve">the ICANN Board </w:t>
      </w:r>
      <w:hyperlink r:id="rId10" w:anchor="2.c">
        <w:r>
          <w:rPr>
            <w:color w:val="1155CC"/>
            <w:u w:val="single"/>
          </w:rPr>
          <w:t>launched</w:t>
        </w:r>
      </w:hyperlink>
      <w:r>
        <w:t xml:space="preserve"> (25 March 2021) a newly proposed </w:t>
      </w:r>
      <w:r>
        <w:rPr>
          <w:b/>
        </w:rPr>
        <w:t xml:space="preserve">Operational Design Phase (ODP), </w:t>
      </w:r>
      <w:r>
        <w:t xml:space="preserve">for an initial duration of 6-months, </w:t>
      </w:r>
      <w:hyperlink r:id="rId11">
        <w:r>
          <w:rPr>
            <w:color w:val="1155CC"/>
            <w:u w:val="single"/>
          </w:rPr>
          <w:t>to perform an asse</w:t>
        </w:r>
        <w:r>
          <w:rPr>
            <w:color w:val="1155CC"/>
            <w:u w:val="single"/>
          </w:rPr>
          <w:t>ssment</w:t>
        </w:r>
      </w:hyperlink>
      <w:r>
        <w:t xml:space="preserve"> of possible implementation parameters. Several community surveys were launched to this effect, including to assess potential demand for an SSAD. </w:t>
      </w:r>
      <w:r>
        <w:rPr>
          <w:b/>
        </w:rPr>
        <w:t xml:space="preserve">A specific ICANN org </w:t>
      </w:r>
      <w:hyperlink r:id="rId12">
        <w:r>
          <w:rPr>
            <w:color w:val="1155CC"/>
            <w:u w:val="single"/>
          </w:rPr>
          <w:t>survey</w:t>
        </w:r>
      </w:hyperlink>
      <w:r>
        <w:rPr>
          <w:b/>
        </w:rPr>
        <w:t xml:space="preserve"> for GAC Members</w:t>
      </w:r>
      <w:r>
        <w:t xml:space="preserve">, regarding the accreditation of governments entities and their legitimate users, as well as legal bases for various types of processing of registration data, was </w:t>
      </w:r>
      <w:hyperlink r:id="rId13">
        <w:r>
          <w:rPr>
            <w:color w:val="1155CC"/>
            <w:u w:val="single"/>
          </w:rPr>
          <w:t>circulated</w:t>
        </w:r>
      </w:hyperlink>
      <w:r>
        <w:t xml:space="preserve"> </w:t>
      </w:r>
      <w:r>
        <w:t xml:space="preserve">to the GAC on 15 July 2021 and its results reported in a </w:t>
      </w:r>
      <w:hyperlink r:id="rId14">
        <w:r>
          <w:rPr>
            <w:color w:val="1155CC"/>
            <w:u w:val="single"/>
          </w:rPr>
          <w:t>webinar</w:t>
        </w:r>
      </w:hyperlink>
      <w:r>
        <w:t xml:space="preserve"> on 18 November 2021.</w:t>
      </w:r>
    </w:p>
    <w:p w14:paraId="5145314A" w14:textId="77777777" w:rsidR="00BF56E6" w:rsidRDefault="00DA0CC4">
      <w:pPr>
        <w:numPr>
          <w:ilvl w:val="1"/>
          <w:numId w:val="1"/>
        </w:numPr>
      </w:pPr>
      <w:r>
        <w:t xml:space="preserve">After presenting design proposals and costs assessments in several </w:t>
      </w:r>
      <w:hyperlink r:id="rId15">
        <w:r>
          <w:rPr>
            <w:color w:val="1155CC"/>
            <w:u w:val="single"/>
          </w:rPr>
          <w:t>webinars</w:t>
        </w:r>
      </w:hyperlink>
      <w:r>
        <w:t xml:space="preserve"> to the GNSO, GAC, and ICANN Community, the GAC </w:t>
      </w:r>
      <w:hyperlink r:id="rId16">
        <w:r>
          <w:rPr>
            <w:color w:val="1155CC"/>
            <w:u w:val="single"/>
          </w:rPr>
          <w:t>alerted the GNSO</w:t>
        </w:r>
      </w:hyperlink>
      <w:r>
        <w:t xml:space="preserve"> (15 December 2021) that ICANN’s proposed design of Governmental Accreditation Authorities goes beyond the </w:t>
      </w:r>
      <w:r>
        <w:lastRenderedPageBreak/>
        <w:t xml:space="preserve">scope envisioned in </w:t>
      </w:r>
      <w:hyperlink r:id="rId17">
        <w:r>
          <w:rPr>
            <w:color w:val="1155CC"/>
            <w:u w:val="single"/>
          </w:rPr>
          <w:t xml:space="preserve">GAC Principles </w:t>
        </w:r>
        <w:r>
          <w:rPr>
            <w:color w:val="1155CC"/>
            <w:u w:val="single"/>
          </w:rPr>
          <w:t>on Accreditation</w:t>
        </w:r>
      </w:hyperlink>
      <w:r>
        <w:t xml:space="preserve"> (21 Jan. 2020) which were incorporated in Recommendation 2 of the EPDP Phase 2 Final Report..</w:t>
      </w:r>
    </w:p>
    <w:p w14:paraId="6680C570" w14:textId="77777777" w:rsidR="00BF56E6" w:rsidRDefault="00DA0CC4">
      <w:pPr>
        <w:widowControl w:val="0"/>
        <w:numPr>
          <w:ilvl w:val="1"/>
          <w:numId w:val="1"/>
        </w:numPr>
      </w:pPr>
      <w:r>
        <w:t xml:space="preserve">A GNSO Small Team has been reviewing ICANN org’s </w:t>
      </w:r>
      <w:hyperlink r:id="rId18">
        <w:r>
          <w:rPr>
            <w:color w:val="1155CC"/>
            <w:u w:val="single"/>
          </w:rPr>
          <w:t>Operation</w:t>
        </w:r>
        <w:r>
          <w:rPr>
            <w:color w:val="1155CC"/>
            <w:u w:val="single"/>
          </w:rPr>
          <w:t>al Design Assessment</w:t>
        </w:r>
      </w:hyperlink>
      <w:r>
        <w:t xml:space="preserve"> (25 Jan. 2022) with a view to support GNSO Council consultation with the ICANN Board, including addressing questions and concerns expressed in an </w:t>
      </w:r>
      <w:hyperlink r:id="rId19">
        <w:r>
          <w:rPr>
            <w:color w:val="1155CC"/>
            <w:u w:val="single"/>
          </w:rPr>
          <w:t>ICANN Board letter</w:t>
        </w:r>
      </w:hyperlink>
      <w:r>
        <w:t xml:space="preserve"> (24 Jan. 2022).</w:t>
      </w:r>
    </w:p>
    <w:p w14:paraId="7523468E" w14:textId="77777777" w:rsidR="00BF56E6" w:rsidRDefault="00DA0CC4">
      <w:pPr>
        <w:widowControl w:val="0"/>
        <w:numPr>
          <w:ilvl w:val="1"/>
          <w:numId w:val="1"/>
        </w:numPr>
      </w:pPr>
      <w:r>
        <w:t xml:space="preserve">In a </w:t>
      </w:r>
      <w:hyperlink r:id="rId20">
        <w:r>
          <w:rPr>
            <w:color w:val="1155CC"/>
            <w:u w:val="single"/>
          </w:rPr>
          <w:t>letter to the ICANN Board</w:t>
        </w:r>
      </w:hyperlink>
      <w:r>
        <w:t xml:space="preserve"> (27 April 2022), the GNSO shared concerns wi</w:t>
      </w:r>
      <w:r>
        <w:t>th ICANN’s Operational Design Assessment and called for a pause of the Board’s consideration of the SSAD recommendations to allow for work to continue on a  “proof of concept” in collaboration with ICANN org which suggested it could propose a simplified “S</w:t>
      </w:r>
      <w:r>
        <w:t xml:space="preserve">SAD Light Design” in a </w:t>
      </w:r>
      <w:hyperlink r:id="rId21">
        <w:r>
          <w:rPr>
            <w:color w:val="1155CC"/>
            <w:u w:val="single"/>
          </w:rPr>
          <w:t>Concept Paper</w:t>
        </w:r>
      </w:hyperlink>
      <w:r>
        <w:t xml:space="preserve"> (6 April 2022)</w:t>
      </w:r>
      <w:r>
        <w:rPr>
          <w:vertAlign w:val="superscript"/>
        </w:rPr>
        <w:footnoteReference w:id="4"/>
      </w:r>
      <w:r>
        <w:t>. The ICANN Board asked the GNSO Council to assist in prioritizing this work over the ODP on Subsequent roun</w:t>
      </w:r>
      <w:r>
        <w:t>ds of New gTLDs. GNSO Stakeholders do not yet agree on a prioritization recommendation.</w:t>
      </w:r>
      <w:r>
        <w:rPr>
          <w:vertAlign w:val="superscript"/>
        </w:rPr>
        <w:footnoteReference w:id="5"/>
      </w:r>
    </w:p>
    <w:p w14:paraId="6556B2DD" w14:textId="77777777" w:rsidR="00BF56E6" w:rsidRDefault="00DA0CC4">
      <w:pPr>
        <w:numPr>
          <w:ilvl w:val="0"/>
          <w:numId w:val="1"/>
        </w:numPr>
        <w:spacing w:before="280" w:line="268" w:lineRule="auto"/>
      </w:pPr>
      <w:r>
        <w:rPr>
          <w:b/>
        </w:rPr>
        <w:t>The GNSO Scoping Team on Accuracy of Registration Data</w:t>
      </w:r>
      <w:r>
        <w:t xml:space="preserve"> is expected to facilitate understanding of the issue of Accuracy of Registration Data and issues associated with the WHOIS Accuracy Reporting System</w:t>
      </w:r>
      <w:r>
        <w:rPr>
          <w:b/>
        </w:rPr>
        <w:t>,</w:t>
      </w:r>
      <w:r>
        <w:t xml:space="preserve"> before potential further policy work is considered. </w:t>
      </w:r>
    </w:p>
    <w:p w14:paraId="4A18BD19" w14:textId="77777777" w:rsidR="00BF56E6" w:rsidRDefault="00DA0CC4">
      <w:pPr>
        <w:numPr>
          <w:ilvl w:val="1"/>
          <w:numId w:val="1"/>
        </w:numPr>
        <w:spacing w:before="80" w:line="268" w:lineRule="auto"/>
      </w:pPr>
      <w:r>
        <w:t xml:space="preserve">The GNSO Council adopted substantive and procedural </w:t>
      </w:r>
      <w:hyperlink r:id="rId22">
        <w:r>
          <w:rPr>
            <w:color w:val="1155CC"/>
            <w:u w:val="single"/>
          </w:rPr>
          <w:t>instructions</w:t>
        </w:r>
      </w:hyperlink>
      <w:r>
        <w:t xml:space="preserve"> for the Scoping Team (22 July 2021). In the </w:t>
      </w:r>
      <w:hyperlink r:id="rId23">
        <w:r>
          <w:rPr>
            <w:color w:val="1155CC"/>
            <w:u w:val="single"/>
          </w:rPr>
          <w:t>ICANN72 GAC Communiqué</w:t>
        </w:r>
      </w:hyperlink>
      <w:r>
        <w:t xml:space="preserve"> (1 November 2021) the GAC welcomed “the effective start of the accuracy scoping exercise launched by the GNSO” and expressed support for “</w:t>
      </w:r>
      <w:r>
        <w:rPr>
          <w:i/>
        </w:rPr>
        <w:t xml:space="preserve">all four assignments, namely, </w:t>
      </w:r>
      <w:proofErr w:type="spellStart"/>
      <w:r>
        <w:rPr>
          <w:i/>
        </w:rPr>
        <w:t>i</w:t>
      </w:r>
      <w:proofErr w:type="spellEnd"/>
      <w:r>
        <w:rPr>
          <w:i/>
        </w:rPr>
        <w:t>) enforcement and re</w:t>
      </w:r>
      <w:r>
        <w:rPr>
          <w:i/>
        </w:rPr>
        <w:t xml:space="preserve">porting, ii) measurement of accuracy, iii) effectiveness and iv) impact and improvements, for scoping the work on accuracy” </w:t>
      </w:r>
      <w:r>
        <w:t>noting that “</w:t>
      </w:r>
      <w:r>
        <w:rPr>
          <w:i/>
        </w:rPr>
        <w:t>assignments iii) and iv) are particularly important for the purpose of assessing possible improvements of accuracy of r</w:t>
      </w:r>
      <w:r>
        <w:rPr>
          <w:i/>
        </w:rPr>
        <w:t>egistration data”</w:t>
      </w:r>
      <w:r>
        <w:t xml:space="preserve"> and stressing </w:t>
      </w:r>
      <w:r>
        <w:rPr>
          <w:i/>
        </w:rPr>
        <w:t>“the importance of delivering on all four tasks in a timely and effective manner.”</w:t>
      </w:r>
    </w:p>
    <w:p w14:paraId="321B48BE" w14:textId="77777777" w:rsidR="00BF56E6" w:rsidRDefault="00DA0CC4">
      <w:pPr>
        <w:numPr>
          <w:ilvl w:val="1"/>
          <w:numId w:val="1"/>
        </w:numPr>
        <w:spacing w:before="80" w:line="268" w:lineRule="auto"/>
      </w:pPr>
      <w:r>
        <w:t xml:space="preserve">The GAC has nominated two representatives (European Commission and United States) to participate in these </w:t>
      </w:r>
      <w:hyperlink r:id="rId24">
        <w:r>
          <w:rPr>
            <w:color w:val="1155CC"/>
            <w:u w:val="single"/>
          </w:rPr>
          <w:t>weekly deliberations</w:t>
        </w:r>
      </w:hyperlink>
      <w:r>
        <w:t xml:space="preserve"> which started on 5 October 2021.</w:t>
      </w:r>
    </w:p>
    <w:p w14:paraId="5BC260A3" w14:textId="77777777" w:rsidR="00BF56E6" w:rsidRDefault="00DA0CC4">
      <w:pPr>
        <w:numPr>
          <w:ilvl w:val="1"/>
          <w:numId w:val="1"/>
        </w:numPr>
        <w:spacing w:before="80" w:line="268" w:lineRule="auto"/>
      </w:pPr>
      <w:r>
        <w:t xml:space="preserve">The work of the scoping team is also being informed by an </w:t>
      </w:r>
      <w:hyperlink r:id="rId25">
        <w:r>
          <w:rPr>
            <w:color w:val="1155CC"/>
            <w:u w:val="single"/>
          </w:rPr>
          <w:t>ICANN org briefing</w:t>
        </w:r>
      </w:hyperlink>
      <w:r>
        <w:t xml:space="preserve"> (26 February 2021), an </w:t>
      </w:r>
      <w:hyperlink r:id="rId26">
        <w:r>
          <w:rPr>
            <w:color w:val="1155CC"/>
            <w:u w:val="single"/>
          </w:rPr>
          <w:t>ICANN org Memo on the WHOIS Accuracy Reporting System</w:t>
        </w:r>
      </w:hyperlink>
      <w:r>
        <w:t xml:space="preserve"> (January </w:t>
      </w:r>
      <w:r>
        <w:t xml:space="preserve">2022) and </w:t>
      </w:r>
      <w:hyperlink r:id="rId27">
        <w:r>
          <w:rPr>
            <w:color w:val="1155CC"/>
            <w:u w:val="single"/>
          </w:rPr>
          <w:t>ICANN org responses</w:t>
        </w:r>
      </w:hyperlink>
      <w:r>
        <w:t xml:space="preserve"> to questions by the Scoping Team.</w:t>
      </w:r>
    </w:p>
    <w:p w14:paraId="4B022F38" w14:textId="77777777" w:rsidR="00BF56E6" w:rsidRDefault="00DA0CC4">
      <w:pPr>
        <w:numPr>
          <w:ilvl w:val="1"/>
          <w:numId w:val="1"/>
        </w:numPr>
        <w:spacing w:before="80" w:line="268" w:lineRule="auto"/>
      </w:pPr>
      <w:r>
        <w:t xml:space="preserve">In the </w:t>
      </w:r>
      <w:hyperlink r:id="rId28">
        <w:r>
          <w:rPr>
            <w:color w:val="1155CC"/>
            <w:u w:val="single"/>
          </w:rPr>
          <w:t>ICANN72 GAC Communiqué</w:t>
        </w:r>
      </w:hyperlink>
      <w:r>
        <w:t xml:space="preserve"> (1 November 2021) as part of </w:t>
      </w:r>
      <w:r>
        <w:rPr>
          <w:i/>
        </w:rPr>
        <w:t>Issues of Importance</w:t>
      </w:r>
      <w:r>
        <w:t xml:space="preserve"> the GAC reiterated “</w:t>
      </w:r>
      <w:r>
        <w:rPr>
          <w:i/>
        </w:rPr>
        <w:t>that maintaining accurate domain name registration data is an important element in th</w:t>
      </w:r>
      <w:r>
        <w:rPr>
          <w:i/>
        </w:rPr>
        <w:t>e prevention and mitigation of DNS abuse</w:t>
      </w:r>
      <w:r>
        <w:t>”. The GAC also noted that it is “</w:t>
      </w:r>
      <w:r>
        <w:rPr>
          <w:i/>
        </w:rPr>
        <w:t>looking forward to exchanging with other constituencies not only on the definition and measurement of accuracy but also on solutions on how to enhance accuracy. The GAC gives particu</w:t>
      </w:r>
      <w:r>
        <w:rPr>
          <w:i/>
        </w:rPr>
        <w:t xml:space="preserve">lar importance to the verification, validation and correction of all registration data by registrars, and certain registries, in line with their </w:t>
      </w:r>
      <w:r>
        <w:rPr>
          <w:i/>
        </w:rPr>
        <w:lastRenderedPageBreak/>
        <w:t>contractual obligations, and supports rigorous monitoring and enforcement of such contractual obligations by IC</w:t>
      </w:r>
      <w:r>
        <w:rPr>
          <w:i/>
        </w:rPr>
        <w:t>ANN.”</w:t>
      </w:r>
    </w:p>
    <w:p w14:paraId="2DDA67AA" w14:textId="77777777" w:rsidR="00BF56E6" w:rsidRDefault="00DA0CC4">
      <w:pPr>
        <w:widowControl w:val="0"/>
        <w:numPr>
          <w:ilvl w:val="1"/>
          <w:numId w:val="1"/>
        </w:numPr>
        <w:spacing w:before="80" w:line="268" w:lineRule="auto"/>
        <w:rPr>
          <w:i/>
        </w:rPr>
      </w:pPr>
      <w:r>
        <w:t xml:space="preserve">In the </w:t>
      </w:r>
      <w:hyperlink r:id="rId29">
        <w:r>
          <w:rPr>
            <w:color w:val="1155CC"/>
            <w:u w:val="single"/>
          </w:rPr>
          <w:t>ICANN73 Communiqué</w:t>
        </w:r>
      </w:hyperlink>
      <w:r>
        <w:t xml:space="preserve"> (14 March 2022), the GAC highlighted that as part of the work of the scoping team to date, it “</w:t>
      </w:r>
      <w:r>
        <w:rPr>
          <w:i/>
        </w:rPr>
        <w:t>has emphasized the importance of holding contract</w:t>
      </w:r>
      <w:r>
        <w:rPr>
          <w:i/>
        </w:rPr>
        <w:t>ed parties accountable for their compliance with the existing accuracy requirements, as well as the importance of increasing transparency about compliance, in order to inform an evidence-based analysis of these issues</w:t>
      </w:r>
      <w:r>
        <w:t>”</w:t>
      </w:r>
    </w:p>
    <w:p w14:paraId="2EC7A2F3" w14:textId="77777777" w:rsidR="00BF56E6" w:rsidRDefault="00DA0CC4">
      <w:pPr>
        <w:widowControl w:val="0"/>
        <w:numPr>
          <w:ilvl w:val="1"/>
          <w:numId w:val="1"/>
        </w:numPr>
        <w:spacing w:before="80" w:line="268" w:lineRule="auto"/>
      </w:pPr>
      <w:r>
        <w:t>Prior to ICANN74, the leadership of t</w:t>
      </w:r>
      <w:r>
        <w:t xml:space="preserve">he Accuracy Scoping Team </w:t>
      </w:r>
      <w:hyperlink r:id="rId30">
        <w:r>
          <w:rPr>
            <w:color w:val="1155CC"/>
            <w:u w:val="single"/>
          </w:rPr>
          <w:t>reported</w:t>
        </w:r>
      </w:hyperlink>
      <w:r>
        <w:t xml:space="preserve"> that an interim report</w:t>
      </w:r>
      <w:r>
        <w:rPr>
          <w:vertAlign w:val="superscript"/>
        </w:rPr>
        <w:footnoteReference w:id="6"/>
      </w:r>
      <w:r>
        <w:t xml:space="preserve"> (deliverables #1 and #2) should be delivered in June 2022, that its Ch</w:t>
      </w:r>
      <w:r>
        <w:t xml:space="preserve">air would step down by then, and that further work of the scoping team (on assignment #3 and #4) cannot be planned until registration data is gathered and studied to evaluate accuracy. </w:t>
      </w:r>
    </w:p>
    <w:p w14:paraId="3BC314FA" w14:textId="77777777" w:rsidR="00BF56E6" w:rsidRDefault="00DA0CC4">
      <w:pPr>
        <w:widowControl w:val="0"/>
        <w:numPr>
          <w:ilvl w:val="1"/>
          <w:numId w:val="1"/>
        </w:numPr>
        <w:spacing w:before="80" w:line="268" w:lineRule="auto"/>
      </w:pPr>
      <w:r>
        <w:t xml:space="preserve">The ICANN org shared with the Scoping Team a </w:t>
      </w:r>
      <w:hyperlink r:id="rId31">
        <w:r>
          <w:rPr>
            <w:color w:val="1155CC"/>
            <w:u w:val="single"/>
          </w:rPr>
          <w:t>set of scenarios</w:t>
        </w:r>
      </w:hyperlink>
      <w:r>
        <w:t xml:space="preserve"> for which it plans to consult the European Data Protection Board on whether or not ICANN org has a legitimate purpose that is proportionate (i.e. not outweighed by the privacy </w:t>
      </w:r>
      <w:r>
        <w:t>rights of the individual data subjects) to request that contracted parties provide access to registration data records.</w:t>
      </w:r>
    </w:p>
    <w:p w14:paraId="46088659" w14:textId="77777777" w:rsidR="00BF56E6" w:rsidRDefault="00DA0CC4">
      <w:pPr>
        <w:spacing w:before="280" w:line="271" w:lineRule="auto"/>
        <w:rPr>
          <w:b/>
        </w:rPr>
      </w:pPr>
      <w:r>
        <w:rPr>
          <w:b/>
        </w:rPr>
        <w:t>Status of Policy Development</w:t>
      </w:r>
    </w:p>
    <w:p w14:paraId="5016E1C4" w14:textId="77777777" w:rsidR="00BF56E6" w:rsidRDefault="00DA0CC4">
      <w:pPr>
        <w:numPr>
          <w:ilvl w:val="0"/>
          <w:numId w:val="1"/>
        </w:numPr>
        <w:spacing w:before="280" w:line="271" w:lineRule="auto"/>
      </w:pPr>
      <w:r>
        <w:rPr>
          <w:b/>
        </w:rPr>
        <w:t xml:space="preserve">The current interim policy regime </w:t>
      </w:r>
      <w:r>
        <w:t>applicable to gTLD Registration Data</w:t>
      </w:r>
      <w:r>
        <w:rPr>
          <w:b/>
        </w:rPr>
        <w:t xml:space="preserve"> is expected to remain in place for t</w:t>
      </w:r>
      <w:r>
        <w:rPr>
          <w:b/>
        </w:rPr>
        <w:t xml:space="preserve">he foreseeable future, but may not guarantee access </w:t>
      </w:r>
      <w:r>
        <w:t xml:space="preserve">to non-public data for public authorities and other legitimate third parties </w:t>
      </w:r>
    </w:p>
    <w:p w14:paraId="18E00974" w14:textId="77777777" w:rsidR="00BF56E6" w:rsidRDefault="00DA0CC4">
      <w:pPr>
        <w:numPr>
          <w:ilvl w:val="1"/>
          <w:numId w:val="1"/>
        </w:numPr>
        <w:spacing w:before="100" w:line="271" w:lineRule="auto"/>
      </w:pPr>
      <w:r>
        <w:t xml:space="preserve">Following GAC </w:t>
      </w:r>
      <w:hyperlink r:id="rId32">
        <w:r>
          <w:rPr>
            <w:color w:val="1155CC"/>
            <w:u w:val="single"/>
          </w:rPr>
          <w:t>input</w:t>
        </w:r>
      </w:hyperlink>
      <w:r>
        <w:t xml:space="preserve"> to the ICANN Board regarding EPDP Phase 1 Policy Recommendations (24 April 2019) </w:t>
      </w:r>
      <w:r>
        <w:rPr>
          <w:b/>
        </w:rPr>
        <w:t>the ICANN Board</w:t>
      </w:r>
      <w:r>
        <w:t xml:space="preserve"> </w:t>
      </w:r>
      <w:hyperlink r:id="rId33" w:anchor="1.b">
        <w:r>
          <w:rPr>
            <w:color w:val="1155CC"/>
            <w:u w:val="single"/>
          </w:rPr>
          <w:t>took action</w:t>
        </w:r>
      </w:hyperlink>
      <w:r>
        <w:t xml:space="preserve"> (15 May 2019) and lai</w:t>
      </w:r>
      <w:r>
        <w:t xml:space="preserve">d the foundation for the future policy regime regarding gTLD Registration Data. Subsequently, the </w:t>
      </w:r>
      <w:hyperlink r:id="rId34" w:anchor="temp-spec">
        <w:r>
          <w:rPr>
            <w:color w:val="1155CC"/>
            <w:u w:val="single"/>
          </w:rPr>
          <w:t>Temporary Specification on gTLD Registration Data</w:t>
        </w:r>
      </w:hyperlink>
      <w:r>
        <w:t xml:space="preserve"> exp</w:t>
      </w:r>
      <w:r>
        <w:t xml:space="preserve">ired on 20 May 2019 and was replaced by the </w:t>
      </w:r>
      <w:hyperlink r:id="rId35">
        <w:r>
          <w:rPr>
            <w:color w:val="1155CC"/>
            <w:u w:val="single"/>
          </w:rPr>
          <w:t>Interim Registration Data Policy for gTLDs</w:t>
        </w:r>
      </w:hyperlink>
      <w:r>
        <w:t xml:space="preserve">, which requires </w:t>
      </w:r>
      <w:r>
        <w:rPr>
          <w:b/>
        </w:rPr>
        <w:t>Contracted Parties to continue to implement measures that ar</w:t>
      </w:r>
      <w:r>
        <w:rPr>
          <w:b/>
        </w:rPr>
        <w:t>e consistent with the Temporary Specification</w:t>
      </w:r>
      <w:r>
        <w:t xml:space="preserve">, while </w:t>
      </w:r>
      <w:hyperlink r:id="rId36">
        <w:r>
          <w:rPr>
            <w:color w:val="1155CC"/>
            <w:u w:val="single"/>
          </w:rPr>
          <w:t>implementation</w:t>
        </w:r>
      </w:hyperlink>
      <w:r>
        <w:t xml:space="preserve"> of EPDP Phase 1 policy is ongoing. </w:t>
      </w:r>
    </w:p>
    <w:p w14:paraId="65D7542C" w14:textId="77777777" w:rsidR="00BF56E6" w:rsidRDefault="00DA0CC4">
      <w:pPr>
        <w:numPr>
          <w:ilvl w:val="1"/>
          <w:numId w:val="1"/>
        </w:numPr>
        <w:spacing w:before="100" w:line="271" w:lineRule="auto"/>
      </w:pPr>
      <w:r>
        <w:t xml:space="preserve">In the </w:t>
      </w:r>
      <w:hyperlink r:id="rId37">
        <w:r>
          <w:rPr>
            <w:color w:val="1155CC"/>
            <w:u w:val="single"/>
          </w:rPr>
          <w:t>Montréal Communiqué</w:t>
        </w:r>
      </w:hyperlink>
      <w:r>
        <w:t xml:space="preserve"> (6 November 2019), the GAC </w:t>
      </w:r>
      <w:hyperlink r:id="rId38">
        <w:r>
          <w:rPr>
            <w:color w:val="1155CC"/>
            <w:u w:val="single"/>
          </w:rPr>
          <w:t>advised</w:t>
        </w:r>
      </w:hyperlink>
      <w:r>
        <w:t xml:space="preserve"> the ICANN Board to “</w:t>
      </w:r>
      <w:r>
        <w:rPr>
          <w:i/>
        </w:rPr>
        <w:t>ensure that the current system that requires ‘reasonable access’ to non-public domain name registra</w:t>
      </w:r>
      <w:r>
        <w:rPr>
          <w:i/>
        </w:rPr>
        <w:t>tion is operating effectively</w:t>
      </w:r>
      <w:r>
        <w:t xml:space="preserve">”. The ICANN Board </w:t>
      </w:r>
      <w:hyperlink r:id="rId39">
        <w:r>
          <w:rPr>
            <w:color w:val="1155CC"/>
            <w:u w:val="single"/>
          </w:rPr>
          <w:t>accepted</w:t>
        </w:r>
      </w:hyperlink>
      <w:r>
        <w:t xml:space="preserve"> this Advice (26 January 2020). The GAC requested an update on these efforts i</w:t>
      </w:r>
      <w:r>
        <w:t xml:space="preserve">n Follow-up to Previous Advice in the </w:t>
      </w:r>
      <w:hyperlink r:id="rId40">
        <w:r>
          <w:rPr>
            <w:color w:val="1155CC"/>
            <w:u w:val="single"/>
          </w:rPr>
          <w:t>ICANN72 Communiqué</w:t>
        </w:r>
      </w:hyperlink>
      <w:r>
        <w:t xml:space="preserve"> (1 Nov. 2021). In its </w:t>
      </w:r>
      <w:hyperlink r:id="rId41">
        <w:r>
          <w:rPr>
            <w:color w:val="1155CC"/>
            <w:u w:val="single"/>
          </w:rPr>
          <w:t>response</w:t>
        </w:r>
      </w:hyperlink>
      <w:r>
        <w:t xml:space="preserve"> (16 Jan. 2022), the ICANN Board suggested that standardization and centralization of requests would be achieved by an SSAD. It noted however that “</w:t>
      </w:r>
      <w:r>
        <w:rPr>
          <w:i/>
        </w:rPr>
        <w:t xml:space="preserve">data from both Contractual Compliance and Global Support do not indicate this </w:t>
      </w:r>
      <w:r>
        <w:rPr>
          <w:i/>
        </w:rPr>
        <w:t xml:space="preserve">lack of centralized intake system to be a significant issue for Internet </w:t>
      </w:r>
      <w:proofErr w:type="gramStart"/>
      <w:r>
        <w:rPr>
          <w:i/>
        </w:rPr>
        <w:t>users</w:t>
      </w:r>
      <w:r>
        <w:t>“</w:t>
      </w:r>
      <w:proofErr w:type="gramEnd"/>
      <w:r>
        <w:t>.</w:t>
      </w:r>
    </w:p>
    <w:p w14:paraId="10C4FC32" w14:textId="77777777" w:rsidR="00BF56E6" w:rsidRDefault="00DA0CC4">
      <w:pPr>
        <w:numPr>
          <w:ilvl w:val="0"/>
          <w:numId w:val="1"/>
        </w:numPr>
        <w:spacing w:before="100" w:line="271" w:lineRule="auto"/>
      </w:pPr>
      <w:r>
        <w:rPr>
          <w:b/>
        </w:rPr>
        <w:t>Implementation of the EPDP Phase 1 Policy Recommendations</w:t>
      </w:r>
      <w:r>
        <w:t xml:space="preserve"> (</w:t>
      </w:r>
      <w:hyperlink r:id="rId42" w:anchor="1.b">
        <w:r>
          <w:rPr>
            <w:color w:val="1155CC"/>
            <w:u w:val="single"/>
          </w:rPr>
          <w:t>adopted</w:t>
        </w:r>
      </w:hyperlink>
      <w:r>
        <w:rPr>
          <w:color w:val="1155CC"/>
          <w:u w:val="single"/>
        </w:rPr>
        <w:t xml:space="preserve"> </w:t>
      </w:r>
      <w:r>
        <w:t xml:space="preserve">by the </w:t>
      </w:r>
      <w:r>
        <w:t>ICANN Board on 15 May 2019) has revealed significant challenges, with possible public policy implications.</w:t>
      </w:r>
    </w:p>
    <w:p w14:paraId="700BC654" w14:textId="77777777" w:rsidR="00BF56E6" w:rsidRDefault="00DA0CC4">
      <w:pPr>
        <w:numPr>
          <w:ilvl w:val="1"/>
          <w:numId w:val="1"/>
        </w:numPr>
        <w:spacing w:before="100"/>
      </w:pPr>
      <w:r>
        <w:lastRenderedPageBreak/>
        <w:t>The GAC highlighted in the ICANN72 Communiqué (1 Nov. 2021) “</w:t>
      </w:r>
      <w:r>
        <w:rPr>
          <w:i/>
        </w:rPr>
        <w:t xml:space="preserve">with continued concern that the </w:t>
      </w:r>
      <w:r>
        <w:rPr>
          <w:b/>
          <w:i/>
        </w:rPr>
        <w:t>Phase 1 Implementation Review Team (IRT) lacks a current</w:t>
      </w:r>
      <w:r>
        <w:rPr>
          <w:b/>
          <w:i/>
        </w:rPr>
        <w:t xml:space="preserve"> published implementation timeline</w:t>
      </w:r>
      <w:r>
        <w:t xml:space="preserve">” recall its previous  Advice in the </w:t>
      </w:r>
      <w:hyperlink r:id="rId43">
        <w:r>
          <w:rPr>
            <w:color w:val="1155CC"/>
            <w:u w:val="single"/>
          </w:rPr>
          <w:t>Montréal Communiqué</w:t>
        </w:r>
      </w:hyperlink>
      <w:r>
        <w:t xml:space="preserve"> (6 November 2019) and Follow-up since in the </w:t>
      </w:r>
      <w:hyperlink r:id="rId44">
        <w:r>
          <w:rPr>
            <w:color w:val="1155CC"/>
            <w:u w:val="single"/>
          </w:rPr>
          <w:t>ICANN70 Communiqué</w:t>
        </w:r>
      </w:hyperlink>
      <w:r>
        <w:t xml:space="preserve"> (25 March 2021) and </w:t>
      </w:r>
      <w:hyperlink r:id="rId45">
        <w:r>
          <w:rPr>
            <w:color w:val="1155CC"/>
            <w:u w:val="single"/>
          </w:rPr>
          <w:t>ICANN71 Communiqué</w:t>
        </w:r>
      </w:hyperlink>
      <w:r>
        <w:t xml:space="preserve"> (21 June 2021)In its response to the ICANN72 Communiqué (16 Jan. 2022), t</w:t>
      </w:r>
      <w:r>
        <w:t>he ICANN Board listed and discussed several remaining milestones including negotiation of data protection agreement between ICANN org and Contracted Parties. It also urged “</w:t>
      </w:r>
      <w:r>
        <w:rPr>
          <w:i/>
        </w:rPr>
        <w:t>the GAC, as a participant in the processes that yield community recommendations, to</w:t>
      </w:r>
      <w:r>
        <w:rPr>
          <w:i/>
        </w:rPr>
        <w:t xml:space="preserve"> work with the respective community groups to achieve clarity and alignment across the community of what recommendations will institute regarding requirements or obligations</w:t>
      </w:r>
      <w:r>
        <w:t>”</w:t>
      </w:r>
    </w:p>
    <w:p w14:paraId="0EC47F40" w14:textId="77777777" w:rsidR="00BF56E6" w:rsidRDefault="00DA0CC4">
      <w:pPr>
        <w:numPr>
          <w:ilvl w:val="1"/>
          <w:numId w:val="1"/>
        </w:numPr>
        <w:spacing w:before="100"/>
      </w:pPr>
      <w:r>
        <w:t xml:space="preserve">In the </w:t>
      </w:r>
      <w:hyperlink r:id="rId46">
        <w:r>
          <w:rPr>
            <w:color w:val="1155CC"/>
            <w:u w:val="single"/>
          </w:rPr>
          <w:t>GAC ICANN73 Communiqué</w:t>
        </w:r>
      </w:hyperlink>
      <w:r>
        <w:t xml:space="preserve"> (14 March 2022), the GAC welcomed “</w:t>
      </w:r>
      <w:r>
        <w:rPr>
          <w:i/>
        </w:rPr>
        <w:t xml:space="preserve">the </w:t>
      </w:r>
      <w:hyperlink r:id="rId47">
        <w:r>
          <w:rPr>
            <w:i/>
            <w:color w:val="1155CC"/>
            <w:u w:val="single"/>
          </w:rPr>
          <w:t>detailed work plan</w:t>
        </w:r>
      </w:hyperlink>
      <w:r>
        <w:rPr>
          <w:i/>
        </w:rPr>
        <w:t xml:space="preserve"> provided by ICANN org to the IRT prior to ICANN73 and notes that the expected Data Protection Agreements (DPAs) between ICANN org and Contracted Parties have been "undergoing time-consuming negotiations" and are part of di</w:t>
      </w:r>
      <w:r>
        <w:rPr>
          <w:i/>
        </w:rPr>
        <w:t>scussions "which may lead to an impasse". Since finalized DPAs seem to be on the critical path to completing the implementation of EPDP Phase 1 policy recommendations, the GAC asks the ICANN Board to support the Org in getting this item completed to enable</w:t>
      </w:r>
      <w:r>
        <w:rPr>
          <w:i/>
        </w:rPr>
        <w:t xml:space="preserve"> the timely conclusion of the Phase 1 IRT</w:t>
      </w:r>
      <w:r>
        <w:t>.”</w:t>
      </w:r>
    </w:p>
    <w:p w14:paraId="2352821C" w14:textId="77777777" w:rsidR="00BF56E6" w:rsidRDefault="00DA0CC4">
      <w:pPr>
        <w:numPr>
          <w:ilvl w:val="1"/>
          <w:numId w:val="1"/>
        </w:numPr>
        <w:spacing w:before="100"/>
      </w:pPr>
      <w:r>
        <w:t xml:space="preserve">As a consequence of the adoption of the EPDP Phase 1 policy recommendations, </w:t>
      </w:r>
      <w:r>
        <w:rPr>
          <w:b/>
        </w:rPr>
        <w:t xml:space="preserve">the implementation of several pre-existing efforts </w:t>
      </w:r>
      <w:proofErr w:type="gramStart"/>
      <w:r>
        <w:rPr>
          <w:b/>
        </w:rPr>
        <w:t>were</w:t>
      </w:r>
      <w:proofErr w:type="gramEnd"/>
      <w:r>
        <w:rPr>
          <w:b/>
        </w:rPr>
        <w:t xml:space="preserve"> suspended</w:t>
      </w:r>
      <w:r>
        <w:t>, and in particular the Thick WHOIS Transition Policy</w:t>
      </w:r>
      <w:r>
        <w:rPr>
          <w:vertAlign w:val="superscript"/>
        </w:rPr>
        <w:footnoteReference w:id="7"/>
      </w:r>
      <w:r>
        <w:t>, Privacy/Proxy</w:t>
      </w:r>
      <w:r>
        <w:t xml:space="preserve"> Accreditation Policy</w:t>
      </w:r>
      <w:r>
        <w:rPr>
          <w:vertAlign w:val="superscript"/>
        </w:rPr>
        <w:footnoteReference w:id="8"/>
      </w:r>
      <w:r>
        <w:t xml:space="preserve"> and the WHOIS Accuracy Reporting System (ARS).</w:t>
      </w:r>
    </w:p>
    <w:p w14:paraId="2F562711" w14:textId="77777777" w:rsidR="00BF56E6" w:rsidRDefault="00DA0CC4">
      <w:pPr>
        <w:numPr>
          <w:ilvl w:val="0"/>
          <w:numId w:val="1"/>
        </w:numPr>
        <w:spacing w:before="160" w:line="268" w:lineRule="auto"/>
      </w:pPr>
      <w:r>
        <w:rPr>
          <w:b/>
        </w:rPr>
        <w:t xml:space="preserve">Policy Development in Phase 2 of the EPDP concluded </w:t>
      </w:r>
      <w:r>
        <w:t xml:space="preserve">with the publication of a </w:t>
      </w:r>
      <w:hyperlink r:id="rId48">
        <w:r>
          <w:rPr>
            <w:color w:val="1155CC"/>
            <w:u w:val="single"/>
          </w:rPr>
          <w:t>Final Report</w:t>
        </w:r>
      </w:hyperlink>
      <w:r>
        <w:t xml:space="preserve"> (31 July 2020), which recommended a System for Standardized Access/Disclosure (SSAD) to gTLD Registration Data with a sign</w:t>
      </w:r>
      <w:r>
        <w:t xml:space="preserve">ificant level of divergence among stakeholders as documented in the Consensus Designations (Annex D) and Minority Statements (Annex E), including the </w:t>
      </w:r>
      <w:hyperlink r:id="rId49">
        <w:r>
          <w:rPr>
            <w:color w:val="1155CC"/>
            <w:u w:val="single"/>
          </w:rPr>
          <w:t>G</w:t>
        </w:r>
        <w:r>
          <w:rPr>
            <w:color w:val="1155CC"/>
            <w:u w:val="single"/>
          </w:rPr>
          <w:t>AC Minority Statement</w:t>
        </w:r>
      </w:hyperlink>
      <w:r>
        <w:t xml:space="preserve"> (24 August 2020). </w:t>
      </w:r>
    </w:p>
    <w:p w14:paraId="1725882D" w14:textId="77777777" w:rsidR="00BF56E6" w:rsidRDefault="00DA0CC4">
      <w:pPr>
        <w:numPr>
          <w:ilvl w:val="1"/>
          <w:numId w:val="1"/>
        </w:numPr>
        <w:spacing w:before="160" w:line="268" w:lineRule="auto"/>
      </w:pPr>
      <w:r>
        <w:rPr>
          <w:b/>
        </w:rPr>
        <w:t xml:space="preserve">Consensus was achieved on </w:t>
      </w:r>
      <w:r>
        <w:t>aspects of the SSAD relating to</w:t>
      </w:r>
      <w:r>
        <w:rPr>
          <w:b/>
        </w:rPr>
        <w:t xml:space="preserve"> accreditation of requestors and centralization of requests</w:t>
      </w:r>
      <w:r>
        <w:t xml:space="preserve"> (recommendations 1-4, 11, 13 and 15-17). Once implemented these recommendations should improve the</w:t>
      </w:r>
      <w:r>
        <w:t xml:space="preserve"> current fragmented systems by providing a central entry point to request access to registration data, according to clearly defined standards, and providing guarantees of appropriate processing (including safeguards for data subjects and requestor). </w:t>
      </w:r>
    </w:p>
    <w:p w14:paraId="15E5E763" w14:textId="77777777" w:rsidR="00BF56E6" w:rsidRDefault="00DA0CC4">
      <w:pPr>
        <w:numPr>
          <w:ilvl w:val="1"/>
          <w:numId w:val="1"/>
        </w:numPr>
        <w:spacing w:before="160" w:line="268" w:lineRule="auto"/>
      </w:pPr>
      <w:r>
        <w:rPr>
          <w:b/>
        </w:rPr>
        <w:t>Stake</w:t>
      </w:r>
      <w:r>
        <w:rPr>
          <w:b/>
        </w:rPr>
        <w:t xml:space="preserve">holders could not agree on </w:t>
      </w:r>
      <w:r>
        <w:t>the policy recommendations necessary to provide for</w:t>
      </w:r>
      <w:r>
        <w:rPr>
          <w:b/>
        </w:rPr>
        <w:t xml:space="preserve"> a System for Standardized disclosure</w:t>
      </w:r>
      <w:r>
        <w:t xml:space="preserve"> that meets the needs of all stakeholders involved, including public authorities (recommendations 5-10 and 12). Neither could stakeholders </w:t>
      </w:r>
      <w:r>
        <w:lastRenderedPageBreak/>
        <w:t>ag</w:t>
      </w:r>
      <w:r>
        <w:t>ree on the possibility to evolve the SSAD towards more centralization and more automation of disclosure decisions in the future. (</w:t>
      </w:r>
      <w:proofErr w:type="gramStart"/>
      <w:r>
        <w:t>recommendation</w:t>
      </w:r>
      <w:proofErr w:type="gramEnd"/>
      <w:r>
        <w:t xml:space="preserve"> 18)</w:t>
      </w:r>
    </w:p>
    <w:p w14:paraId="2FEA8DEB" w14:textId="77777777" w:rsidR="00BF56E6" w:rsidRDefault="00DA0CC4">
      <w:pPr>
        <w:numPr>
          <w:ilvl w:val="1"/>
          <w:numId w:val="1"/>
        </w:numPr>
        <w:spacing w:before="160" w:line="268" w:lineRule="auto"/>
      </w:pPr>
      <w:r>
        <w:t xml:space="preserve">In the </w:t>
      </w:r>
      <w:hyperlink r:id="rId50">
        <w:r>
          <w:rPr>
            <w:color w:val="1155CC"/>
            <w:u w:val="single"/>
          </w:rPr>
          <w:t>ICANN70 GAC Communiq</w:t>
        </w:r>
        <w:r>
          <w:rPr>
            <w:color w:val="1155CC"/>
            <w:u w:val="single"/>
          </w:rPr>
          <w:t>ué</w:t>
        </w:r>
      </w:hyperlink>
      <w:r>
        <w:t xml:space="preserve"> (25 March 2021), the GAC Advised the ICANN Board “</w:t>
      </w:r>
      <w:r>
        <w:rPr>
          <w:i/>
        </w:rPr>
        <w:t xml:space="preserve">to consider the </w:t>
      </w:r>
      <w:hyperlink r:id="rId51">
        <w:r>
          <w:rPr>
            <w:i/>
            <w:color w:val="1155CC"/>
            <w:u w:val="single"/>
          </w:rPr>
          <w:t>GAC Minority Statement</w:t>
        </w:r>
      </w:hyperlink>
      <w:r>
        <w:rPr>
          <w:i/>
        </w:rPr>
        <w:t xml:space="preserve"> and available options to address the public policy concerns</w:t>
      </w:r>
      <w:r>
        <w:rPr>
          <w:i/>
        </w:rPr>
        <w:t xml:space="preserve"> expressed therein, and take necessary action, as appropriate.</w:t>
      </w:r>
      <w:r>
        <w:t xml:space="preserve">” The Board </w:t>
      </w:r>
      <w:hyperlink r:id="rId52">
        <w:r>
          <w:rPr>
            <w:color w:val="1155CC"/>
            <w:u w:val="single"/>
          </w:rPr>
          <w:t>accepted</w:t>
        </w:r>
      </w:hyperlink>
      <w:r>
        <w:t xml:space="preserve"> the advice (12 May 2021) noting that “</w:t>
      </w:r>
      <w:r>
        <w:rPr>
          <w:i/>
        </w:rPr>
        <w:t xml:space="preserve">standing on its </w:t>
      </w:r>
      <w:r>
        <w:rPr>
          <w:i/>
        </w:rPr>
        <w:t>own, the GAC’s Minority Statement does not constitute consensus advice”,</w:t>
      </w:r>
      <w:r>
        <w:t xml:space="preserve"> and included a detailed discussion of issues raised in the GAC Minority Statement on EPDP Phase 2.</w:t>
      </w:r>
    </w:p>
    <w:p w14:paraId="545338C0" w14:textId="77777777" w:rsidR="00BF56E6" w:rsidRDefault="00DA0CC4">
      <w:pPr>
        <w:numPr>
          <w:ilvl w:val="1"/>
          <w:numId w:val="1"/>
        </w:numPr>
        <w:spacing w:before="160" w:line="268" w:lineRule="auto"/>
      </w:pPr>
      <w:r>
        <w:t xml:space="preserve">The GAC issued a </w:t>
      </w:r>
      <w:hyperlink r:id="rId53">
        <w:r>
          <w:rPr>
            <w:color w:val="1155CC"/>
            <w:u w:val="single"/>
          </w:rPr>
          <w:t>response</w:t>
        </w:r>
      </w:hyperlink>
      <w:r>
        <w:t xml:space="preserve"> (6 October 2021) to the Board’s </w:t>
      </w:r>
      <w:hyperlink r:id="rId54">
        <w:r>
          <w:rPr>
            <w:color w:val="1155CC"/>
            <w:u w:val="single"/>
          </w:rPr>
          <w:t>clarifying questions</w:t>
        </w:r>
      </w:hyperlink>
      <w:r>
        <w:t xml:space="preserve"> on the ICANN70 advice that were re-iterated before and discussed during the </w:t>
      </w:r>
      <w:hyperlink r:id="rId55">
        <w:r>
          <w:rPr>
            <w:color w:val="1155CC"/>
            <w:u w:val="single"/>
          </w:rPr>
          <w:t>GAC/Board ICANN71 Communiqué clarificati</w:t>
        </w:r>
        <w:r>
          <w:rPr>
            <w:color w:val="1155CC"/>
            <w:u w:val="single"/>
          </w:rPr>
          <w:t>on call</w:t>
        </w:r>
      </w:hyperlink>
      <w:r>
        <w:t xml:space="preserve"> (29 July 2021)</w:t>
      </w:r>
      <w:r>
        <w:br/>
      </w:r>
    </w:p>
    <w:p w14:paraId="17B5096D" w14:textId="77777777" w:rsidR="00BF56E6" w:rsidRDefault="00DA0CC4">
      <w:pPr>
        <w:numPr>
          <w:ilvl w:val="0"/>
          <w:numId w:val="3"/>
        </w:numPr>
        <w:spacing w:before="0" w:line="268" w:lineRule="auto"/>
      </w:pPr>
      <w:r>
        <w:rPr>
          <w:b/>
        </w:rPr>
        <w:t>Policy Development in Phase 2A of the EPDP</w:t>
      </w:r>
      <w:r>
        <w:t xml:space="preserve"> to address the issues of </w:t>
      </w:r>
      <w:r>
        <w:rPr>
          <w:b/>
        </w:rPr>
        <w:t xml:space="preserve">legal vs. natural persons </w:t>
      </w:r>
      <w:r>
        <w:t xml:space="preserve">and the </w:t>
      </w:r>
      <w:r>
        <w:rPr>
          <w:b/>
        </w:rPr>
        <w:t>feasibility of unique contacts</w:t>
      </w:r>
      <w:r>
        <w:t xml:space="preserve"> to have a uniform anonymized email address,</w:t>
      </w:r>
      <w:r>
        <w:rPr>
          <w:b/>
        </w:rPr>
        <w:t xml:space="preserve"> concluded </w:t>
      </w:r>
      <w:r>
        <w:t xml:space="preserve">with the publication of a </w:t>
      </w:r>
      <w:hyperlink r:id="rId56">
        <w:r>
          <w:rPr>
            <w:color w:val="1155CC"/>
            <w:u w:val="single"/>
          </w:rPr>
          <w:t>Final Report</w:t>
        </w:r>
      </w:hyperlink>
      <w:r>
        <w:t xml:space="preserve"> (3 September 2021) </w:t>
      </w:r>
    </w:p>
    <w:p w14:paraId="17374EC0" w14:textId="77777777" w:rsidR="00BF56E6" w:rsidRDefault="00DA0CC4">
      <w:pPr>
        <w:numPr>
          <w:ilvl w:val="1"/>
          <w:numId w:val="1"/>
        </w:numPr>
        <w:spacing w:before="160" w:line="268" w:lineRule="auto"/>
      </w:pPr>
      <w:r>
        <w:t>The EPDP Team Chair presented the report as “</w:t>
      </w:r>
      <w:r>
        <w:rPr>
          <w:i/>
        </w:rPr>
        <w:t>a c</w:t>
      </w:r>
      <w:r>
        <w:rPr>
          <w:b/>
          <w:i/>
        </w:rPr>
        <w:t>ompromise that is the maximum that could be achieved</w:t>
      </w:r>
      <w:r>
        <w:rPr>
          <w:i/>
        </w:rPr>
        <w:t xml:space="preserve"> by the</w:t>
      </w:r>
      <w:r>
        <w:rPr>
          <w:i/>
        </w:rPr>
        <w:t xml:space="preserve"> group at this time under our currently allocated time and scope, and it </w:t>
      </w:r>
      <w:r>
        <w:rPr>
          <w:b/>
          <w:i/>
        </w:rPr>
        <w:t>should not be read as delivering results that were fully satisfactory to everyone</w:t>
      </w:r>
      <w:r>
        <w:rPr>
          <w:i/>
        </w:rPr>
        <w:t xml:space="preserve">” </w:t>
      </w:r>
      <w:r>
        <w:t xml:space="preserve">and underscored </w:t>
      </w:r>
      <w:r>
        <w:rPr>
          <w:i/>
        </w:rPr>
        <w:t xml:space="preserve">“the importance of the minority statements in understanding the full context of the </w:t>
      </w:r>
      <w:r>
        <w:rPr>
          <w:i/>
        </w:rPr>
        <w:t>Final Report recommendations”</w:t>
      </w:r>
    </w:p>
    <w:p w14:paraId="3FD4DF69" w14:textId="77777777" w:rsidR="00BF56E6" w:rsidRDefault="00DA0CC4">
      <w:pPr>
        <w:numPr>
          <w:ilvl w:val="1"/>
          <w:numId w:val="1"/>
        </w:numPr>
        <w:spacing w:before="160" w:line="268" w:lineRule="auto"/>
      </w:pPr>
      <w:r>
        <w:t xml:space="preserve">In its </w:t>
      </w:r>
      <w:hyperlink r:id="rId57">
        <w:r>
          <w:rPr>
            <w:color w:val="1155CC"/>
            <w:u w:val="single"/>
          </w:rPr>
          <w:t>Minority Statement</w:t>
        </w:r>
      </w:hyperlink>
      <w:r>
        <w:t xml:space="preserve"> (10 September 2021), the GAC acknowledged “</w:t>
      </w:r>
      <w:r>
        <w:rPr>
          <w:i/>
        </w:rPr>
        <w:t>the usefulness of many components of the Final Recommendations”</w:t>
      </w:r>
      <w:r>
        <w:t xml:space="preserve"> including:</w:t>
      </w:r>
    </w:p>
    <w:p w14:paraId="648B99CE" w14:textId="77777777" w:rsidR="00BF56E6" w:rsidRDefault="00DA0CC4">
      <w:pPr>
        <w:numPr>
          <w:ilvl w:val="2"/>
          <w:numId w:val="1"/>
        </w:numPr>
        <w:spacing w:before="20" w:line="268" w:lineRule="auto"/>
        <w:rPr>
          <w:i/>
        </w:rPr>
      </w:pPr>
      <w:r>
        <w:rPr>
          <w:i/>
        </w:rPr>
        <w:t xml:space="preserve">the creation of data fields to flag/identify legal registrants and personal </w:t>
      </w:r>
      <w:proofErr w:type="gramStart"/>
      <w:r>
        <w:rPr>
          <w:i/>
        </w:rPr>
        <w:t>data;</w:t>
      </w:r>
      <w:proofErr w:type="gramEnd"/>
    </w:p>
    <w:p w14:paraId="5A986BCB" w14:textId="77777777" w:rsidR="00BF56E6" w:rsidRDefault="00DA0CC4">
      <w:pPr>
        <w:numPr>
          <w:ilvl w:val="2"/>
          <w:numId w:val="1"/>
        </w:numPr>
        <w:spacing w:before="20" w:line="268" w:lineRule="auto"/>
        <w:rPr>
          <w:i/>
        </w:rPr>
      </w:pPr>
      <w:r>
        <w:rPr>
          <w:i/>
        </w:rPr>
        <w:t>specific guidance on what safeguards should be applied to protect personal information when differe</w:t>
      </w:r>
      <w:r>
        <w:rPr>
          <w:i/>
        </w:rPr>
        <w:t xml:space="preserve">ntiating between the domain name registrations of legal and natural </w:t>
      </w:r>
      <w:proofErr w:type="gramStart"/>
      <w:r>
        <w:rPr>
          <w:i/>
        </w:rPr>
        <w:t>persons;</w:t>
      </w:r>
      <w:proofErr w:type="gramEnd"/>
    </w:p>
    <w:p w14:paraId="246C4388" w14:textId="77777777" w:rsidR="00BF56E6" w:rsidRDefault="00DA0CC4">
      <w:pPr>
        <w:numPr>
          <w:ilvl w:val="2"/>
          <w:numId w:val="1"/>
        </w:numPr>
        <w:spacing w:before="20" w:line="268" w:lineRule="auto"/>
        <w:rPr>
          <w:i/>
        </w:rPr>
      </w:pPr>
      <w:r>
        <w:rPr>
          <w:i/>
        </w:rPr>
        <w:t xml:space="preserve">encouragement for the creation of a Code of Conduct that would include the treatment of domain name registration data from legal </w:t>
      </w:r>
      <w:proofErr w:type="gramStart"/>
      <w:r>
        <w:rPr>
          <w:i/>
        </w:rPr>
        <w:t>entities;</w:t>
      </w:r>
      <w:proofErr w:type="gramEnd"/>
    </w:p>
    <w:p w14:paraId="68678AC0" w14:textId="77777777" w:rsidR="00BF56E6" w:rsidRDefault="00DA0CC4">
      <w:pPr>
        <w:numPr>
          <w:ilvl w:val="2"/>
          <w:numId w:val="1"/>
        </w:numPr>
        <w:spacing w:before="20" w:line="268" w:lineRule="auto"/>
        <w:rPr>
          <w:i/>
        </w:rPr>
      </w:pPr>
      <w:r>
        <w:rPr>
          <w:i/>
        </w:rPr>
        <w:t>encouragement for the GNSO to follow leg</w:t>
      </w:r>
      <w:r>
        <w:rPr>
          <w:i/>
        </w:rPr>
        <w:t>islative developments that may require revisions to the current policy recommendations, and</w:t>
      </w:r>
    </w:p>
    <w:p w14:paraId="6742D97D" w14:textId="77777777" w:rsidR="00BF56E6" w:rsidRDefault="00DA0CC4">
      <w:pPr>
        <w:numPr>
          <w:ilvl w:val="2"/>
          <w:numId w:val="1"/>
        </w:numPr>
        <w:spacing w:before="20" w:line="268" w:lineRule="auto"/>
        <w:rPr>
          <w:i/>
        </w:rPr>
      </w:pPr>
      <w:r>
        <w:rPr>
          <w:i/>
        </w:rPr>
        <w:t>useful context and guidance for those who wish to publish pseudonymized emails.</w:t>
      </w:r>
    </w:p>
    <w:p w14:paraId="0A9E8647" w14:textId="77777777" w:rsidR="00BF56E6" w:rsidRDefault="00DA0CC4">
      <w:pPr>
        <w:numPr>
          <w:ilvl w:val="1"/>
          <w:numId w:val="1"/>
        </w:numPr>
        <w:spacing w:before="160" w:line="268" w:lineRule="auto"/>
      </w:pPr>
      <w:r>
        <w:rPr>
          <w:b/>
        </w:rPr>
        <w:t xml:space="preserve">The GAC </w:t>
      </w:r>
      <w:r>
        <w:t>noted however that it</w:t>
      </w:r>
      <w:r>
        <w:rPr>
          <w:b/>
        </w:rPr>
        <w:t xml:space="preserve"> “remains </w:t>
      </w:r>
      <w:r>
        <w:rPr>
          <w:b/>
          <w:i/>
        </w:rPr>
        <w:t>concerned that almost none of the Final Recom</w:t>
      </w:r>
      <w:r>
        <w:rPr>
          <w:b/>
          <w:i/>
        </w:rPr>
        <w:t>mendations create enforceable obligations”</w:t>
      </w:r>
      <w:r>
        <w:rPr>
          <w:i/>
        </w:rPr>
        <w:t xml:space="preserve"> which “</w:t>
      </w:r>
      <w:r>
        <w:rPr>
          <w:b/>
          <w:i/>
        </w:rPr>
        <w:t>fall short of the GAC’s expectations</w:t>
      </w:r>
      <w:r>
        <w:rPr>
          <w:i/>
        </w:rPr>
        <w:t xml:space="preserve"> for policies that would require the publication of domain name registration data that is not protected [...] and create an appropriate framework to encourage the publica</w:t>
      </w:r>
      <w:r>
        <w:rPr>
          <w:i/>
        </w:rPr>
        <w:t>tion of pseudonymized email contacts with appropriate safeguards.</w:t>
      </w:r>
      <w:r>
        <w:t>”</w:t>
      </w:r>
    </w:p>
    <w:p w14:paraId="7E91FA8D" w14:textId="77777777" w:rsidR="00BF56E6" w:rsidRDefault="00DA0CC4">
      <w:pPr>
        <w:numPr>
          <w:ilvl w:val="1"/>
          <w:numId w:val="1"/>
        </w:numPr>
        <w:spacing w:before="80" w:line="268" w:lineRule="auto"/>
      </w:pPr>
      <w:r>
        <w:t xml:space="preserve">After adoption of these policy recommendations by the GNSO Council, the ICANN Board provided the </w:t>
      </w:r>
      <w:hyperlink r:id="rId58">
        <w:r>
          <w:rPr>
            <w:color w:val="1155CC"/>
            <w:u w:val="single"/>
          </w:rPr>
          <w:t>bylaw-mandated notification to the GAC</w:t>
        </w:r>
      </w:hyperlink>
      <w:r>
        <w:t xml:space="preserve"> (9 Dec. 2021), in </w:t>
      </w:r>
      <w:hyperlink r:id="rId59">
        <w:r>
          <w:rPr>
            <w:color w:val="1155CC"/>
            <w:u w:val="single"/>
          </w:rPr>
          <w:t>response</w:t>
        </w:r>
      </w:hyperlink>
      <w:r>
        <w:t xml:space="preserve"> to which </w:t>
      </w:r>
      <w:r>
        <w:rPr>
          <w:b/>
        </w:rPr>
        <w:t>the GAC requested that the ICANN Board</w:t>
      </w:r>
      <w:r>
        <w:t xml:space="preserve"> “c</w:t>
      </w:r>
      <w:r>
        <w:rPr>
          <w:i/>
        </w:rPr>
        <w:t>onsider</w:t>
      </w:r>
      <w:r>
        <w:rPr>
          <w:i/>
        </w:rPr>
        <w:t xml:space="preserve">s [...] the GAC Minority Statement in </w:t>
      </w:r>
      <w:r>
        <w:rPr>
          <w:i/>
        </w:rPr>
        <w:lastRenderedPageBreak/>
        <w:t>its entirety, as well as available options to address the outstanding public policy concerns expressed therein.</w:t>
      </w:r>
      <w:r>
        <w:t>” (9 Feb. 2022).</w:t>
      </w:r>
    </w:p>
    <w:p w14:paraId="4145EC3B" w14:textId="77777777" w:rsidR="00BF56E6" w:rsidRDefault="00DA0CC4">
      <w:pPr>
        <w:numPr>
          <w:ilvl w:val="1"/>
          <w:numId w:val="1"/>
        </w:numPr>
        <w:spacing w:before="80" w:line="268" w:lineRule="auto"/>
      </w:pPr>
      <w:r>
        <w:t xml:space="preserve">On 10 March 2022, the ICANN Board </w:t>
      </w:r>
      <w:hyperlink r:id="rId60" w:anchor="2.b">
        <w:r>
          <w:rPr>
            <w:color w:val="1155CC"/>
            <w:u w:val="single"/>
          </w:rPr>
          <w:t>adopted</w:t>
        </w:r>
      </w:hyperlink>
      <w:r>
        <w:t xml:space="preserve"> the Phase 2A policy recommendations and directed ICANN org to develop and execute an implementation plan for these resolutions.</w:t>
      </w:r>
    </w:p>
    <w:p w14:paraId="32847AC3" w14:textId="77777777" w:rsidR="00BF56E6" w:rsidRDefault="00DA0CC4">
      <w:pPr>
        <w:pStyle w:val="Heading2"/>
        <w:spacing w:before="0" w:line="268" w:lineRule="auto"/>
      </w:pPr>
      <w:bookmarkStart w:id="6" w:name="_piumh9t5rptm" w:colFirst="0" w:colLast="0"/>
      <w:bookmarkEnd w:id="6"/>
      <w:r>
        <w:t>Key Reference Documents</w:t>
      </w:r>
    </w:p>
    <w:p w14:paraId="1F6650D3" w14:textId="77777777" w:rsidR="00BF56E6" w:rsidRDefault="00DA0CC4">
      <w:pPr>
        <w:numPr>
          <w:ilvl w:val="0"/>
          <w:numId w:val="2"/>
        </w:numPr>
        <w:spacing w:before="200" w:line="268" w:lineRule="auto"/>
      </w:pPr>
      <w:r>
        <w:t xml:space="preserve">Accuracy Scoping Team </w:t>
      </w:r>
      <w:hyperlink r:id="rId61">
        <w:r>
          <w:rPr>
            <w:color w:val="1155CC"/>
            <w:u w:val="single"/>
          </w:rPr>
          <w:t>Draft Report on Assignment 1 and 2</w:t>
        </w:r>
      </w:hyperlink>
      <w:r>
        <w:t xml:space="preserve">, including separate </w:t>
      </w:r>
      <w:hyperlink r:id="rId62">
        <w:r>
          <w:rPr>
            <w:color w:val="1155CC"/>
            <w:u w:val="single"/>
          </w:rPr>
          <w:t>section C.2.2</w:t>
        </w:r>
      </w:hyperlink>
      <w:r>
        <w:t xml:space="preserve"> including recommendations to t</w:t>
      </w:r>
      <w:r>
        <w:t>he GNSO Council (as of 1 June 2022)</w:t>
      </w:r>
    </w:p>
    <w:p w14:paraId="33377B28" w14:textId="77777777" w:rsidR="00BF56E6" w:rsidRDefault="00DA0CC4">
      <w:pPr>
        <w:numPr>
          <w:ilvl w:val="0"/>
          <w:numId w:val="2"/>
        </w:numPr>
        <w:spacing w:before="200" w:line="268" w:lineRule="auto"/>
      </w:pPr>
      <w:hyperlink r:id="rId63">
        <w:r>
          <w:rPr>
            <w:color w:val="1155CC"/>
            <w:u w:val="single"/>
          </w:rPr>
          <w:t>ICANN org Update to the Accuracy Scoping Team</w:t>
        </w:r>
      </w:hyperlink>
      <w:r>
        <w:t xml:space="preserve"> on scenarios for EDPB engagement (9 May 2022)</w:t>
      </w:r>
    </w:p>
    <w:p w14:paraId="727C7276" w14:textId="77777777" w:rsidR="00BF56E6" w:rsidRDefault="00DA0CC4">
      <w:pPr>
        <w:numPr>
          <w:ilvl w:val="0"/>
          <w:numId w:val="2"/>
        </w:numPr>
        <w:spacing w:before="200" w:line="268" w:lineRule="auto"/>
      </w:pPr>
      <w:r>
        <w:t xml:space="preserve">ICANN org SSAD </w:t>
      </w:r>
      <w:hyperlink r:id="rId64">
        <w:r>
          <w:rPr>
            <w:color w:val="1155CC"/>
            <w:u w:val="single"/>
          </w:rPr>
          <w:t>Operational Design Assessment</w:t>
        </w:r>
      </w:hyperlink>
      <w:r>
        <w:t xml:space="preserve"> (25 January 2022)</w:t>
      </w:r>
    </w:p>
    <w:p w14:paraId="2B401D44" w14:textId="77777777" w:rsidR="00BF56E6" w:rsidRDefault="00DA0CC4">
      <w:pPr>
        <w:numPr>
          <w:ilvl w:val="0"/>
          <w:numId w:val="2"/>
        </w:numPr>
        <w:spacing w:before="200" w:line="268" w:lineRule="auto"/>
      </w:pPr>
      <w:r>
        <w:t xml:space="preserve">GAC Advice in the </w:t>
      </w:r>
      <w:hyperlink r:id="rId65">
        <w:r>
          <w:rPr>
            <w:color w:val="1155CC"/>
            <w:u w:val="single"/>
          </w:rPr>
          <w:t>GAC ICANN72 Communiqué</w:t>
        </w:r>
      </w:hyperlink>
      <w:r>
        <w:t xml:space="preserve"> (1 Nov. 202</w:t>
      </w:r>
      <w:r>
        <w:t xml:space="preserve">1)  and related ICANN Board </w:t>
      </w:r>
      <w:hyperlink r:id="rId66">
        <w:r>
          <w:rPr>
            <w:color w:val="1155CC"/>
            <w:u w:val="single"/>
          </w:rPr>
          <w:t>Scorecard</w:t>
        </w:r>
      </w:hyperlink>
      <w:r>
        <w:t xml:space="preserve"> (16 January 2022)</w:t>
      </w:r>
    </w:p>
    <w:p w14:paraId="55AF920B" w14:textId="77777777" w:rsidR="00BF56E6" w:rsidRDefault="00DA0CC4">
      <w:pPr>
        <w:numPr>
          <w:ilvl w:val="0"/>
          <w:numId w:val="2"/>
        </w:numPr>
        <w:spacing w:line="268" w:lineRule="auto"/>
      </w:pPr>
      <w:r>
        <w:t xml:space="preserve">GAC Advice in the </w:t>
      </w:r>
      <w:hyperlink r:id="rId67">
        <w:r>
          <w:rPr>
            <w:color w:val="1155CC"/>
            <w:u w:val="single"/>
          </w:rPr>
          <w:t>GAC ICANN71 Communiqué</w:t>
        </w:r>
      </w:hyperlink>
      <w:r>
        <w:t xml:space="preserve"> (21 June 2021) and related ICANN Board </w:t>
      </w:r>
      <w:hyperlink r:id="rId68">
        <w:r>
          <w:rPr>
            <w:color w:val="1155CC"/>
            <w:u w:val="single"/>
          </w:rPr>
          <w:t>Scorecard</w:t>
        </w:r>
      </w:hyperlink>
      <w:r>
        <w:t xml:space="preserve">  (12 September 2021)</w:t>
      </w:r>
    </w:p>
    <w:p w14:paraId="4B828FC1" w14:textId="77777777" w:rsidR="00BF56E6" w:rsidRDefault="00DA0CC4">
      <w:pPr>
        <w:numPr>
          <w:ilvl w:val="0"/>
          <w:numId w:val="2"/>
        </w:numPr>
        <w:spacing w:line="268" w:lineRule="auto"/>
      </w:pPr>
      <w:r>
        <w:t xml:space="preserve">GAC Advice in the </w:t>
      </w:r>
      <w:hyperlink r:id="rId69">
        <w:r>
          <w:rPr>
            <w:color w:val="1155CC"/>
            <w:u w:val="single"/>
          </w:rPr>
          <w:t>GAC ICANN70 Communiqué</w:t>
        </w:r>
      </w:hyperlink>
      <w:r>
        <w:t xml:space="preserve"> (25 March 2021), related ICANN Board </w:t>
      </w:r>
      <w:hyperlink r:id="rId70">
        <w:r>
          <w:rPr>
            <w:color w:val="1155CC"/>
            <w:u w:val="single"/>
          </w:rPr>
          <w:t>Scorecard</w:t>
        </w:r>
      </w:hyperlink>
      <w:r>
        <w:t xml:space="preserve"> (12 May 2021) and </w:t>
      </w:r>
      <w:hyperlink r:id="rId71">
        <w:r>
          <w:rPr>
            <w:color w:val="1155CC"/>
            <w:u w:val="single"/>
          </w:rPr>
          <w:t>GAC Response to ICANN Board Clarifying Questions</w:t>
        </w:r>
      </w:hyperlink>
      <w:r>
        <w:t xml:space="preserve"> (16 Nov. 2021)</w:t>
      </w:r>
    </w:p>
    <w:p w14:paraId="6AD1BE32" w14:textId="77777777" w:rsidR="00BF56E6" w:rsidRDefault="00DA0CC4">
      <w:pPr>
        <w:numPr>
          <w:ilvl w:val="0"/>
          <w:numId w:val="2"/>
        </w:numPr>
        <w:spacing w:before="200" w:line="268" w:lineRule="auto"/>
      </w:pPr>
      <w:hyperlink r:id="rId72">
        <w:r>
          <w:rPr>
            <w:color w:val="1155CC"/>
            <w:u w:val="single"/>
          </w:rPr>
          <w:t>GAC Minority Statement</w:t>
        </w:r>
      </w:hyperlink>
      <w:r>
        <w:t xml:space="preserve"> (24 August 2020) on EPDP Pha</w:t>
      </w:r>
      <w:r>
        <w:t xml:space="preserve">se 2 </w:t>
      </w:r>
      <w:hyperlink r:id="rId73">
        <w:r>
          <w:rPr>
            <w:color w:val="1155CC"/>
            <w:u w:val="single"/>
          </w:rPr>
          <w:t>Final Report</w:t>
        </w:r>
      </w:hyperlink>
      <w:r>
        <w:t xml:space="preserve"> (31 July 2020)</w:t>
      </w:r>
    </w:p>
    <w:p w14:paraId="0B7A7143" w14:textId="77777777" w:rsidR="00BF56E6" w:rsidRDefault="00DA0CC4">
      <w:pPr>
        <w:numPr>
          <w:ilvl w:val="0"/>
          <w:numId w:val="2"/>
        </w:numPr>
        <w:spacing w:line="268" w:lineRule="auto"/>
      </w:pPr>
      <w:hyperlink r:id="rId74">
        <w:r>
          <w:rPr>
            <w:color w:val="1155CC"/>
            <w:u w:val="single"/>
          </w:rPr>
          <w:t>GAC Minority Statement</w:t>
        </w:r>
      </w:hyperlink>
      <w:r>
        <w:t xml:space="preserve"> (10 September 2021) on EPDP Phase 2A </w:t>
      </w:r>
      <w:hyperlink r:id="rId75">
        <w:r>
          <w:rPr>
            <w:color w:val="1155CC"/>
            <w:u w:val="single"/>
          </w:rPr>
          <w:t>Final Report</w:t>
        </w:r>
      </w:hyperlink>
      <w:r>
        <w:t xml:space="preserve"> (3 September 2021)</w:t>
      </w:r>
    </w:p>
    <w:p w14:paraId="7357DCCC" w14:textId="77777777" w:rsidR="00BF56E6" w:rsidRDefault="00DA0CC4">
      <w:pPr>
        <w:numPr>
          <w:ilvl w:val="0"/>
          <w:numId w:val="2"/>
        </w:numPr>
        <w:spacing w:line="268" w:lineRule="auto"/>
      </w:pPr>
      <w:hyperlink r:id="rId76">
        <w:r>
          <w:rPr>
            <w:color w:val="1155CC"/>
            <w:u w:val="single"/>
          </w:rPr>
          <w:t>GAC Response</w:t>
        </w:r>
      </w:hyperlink>
      <w:r>
        <w:t xml:space="preserve"> (6 October 2021) to </w:t>
      </w:r>
      <w:hyperlink r:id="rId77">
        <w:r>
          <w:rPr>
            <w:color w:val="1155CC"/>
            <w:u w:val="single"/>
          </w:rPr>
          <w:t>ICANN Board Clarifying Questions</w:t>
        </w:r>
      </w:hyperlink>
      <w:r>
        <w:t xml:space="preserve"> (21 April 2021) on the ICANN70 GAC Advice regarding the GAC Minority Statement on EPDP Phase 2, as reiterated during the ICANN71 Communiqué clari</w:t>
      </w:r>
      <w:r>
        <w:t>fication discussions.</w:t>
      </w:r>
    </w:p>
    <w:p w14:paraId="0CBE6690" w14:textId="77777777" w:rsidR="00BF56E6" w:rsidRDefault="00DA0CC4">
      <w:pPr>
        <w:spacing w:before="400" w:line="268" w:lineRule="auto"/>
      </w:pPr>
      <w:r>
        <w:rPr>
          <w:b/>
          <w:color w:val="1F4E79"/>
          <w:sz w:val="26"/>
          <w:szCs w:val="26"/>
        </w:rPr>
        <w:t>Further Information</w:t>
      </w:r>
    </w:p>
    <w:p w14:paraId="7F715DE0" w14:textId="77777777" w:rsidR="00BF56E6" w:rsidRDefault="00DA0CC4">
      <w:pPr>
        <w:rPr>
          <w:b/>
          <w:color w:val="1F4E79"/>
          <w:sz w:val="26"/>
          <w:szCs w:val="26"/>
        </w:rPr>
      </w:pPr>
      <w:r>
        <w:t>GAC Policy Background Document on WHOIS and Data Protection</w:t>
      </w:r>
      <w:r>
        <w:br/>
      </w:r>
      <w:hyperlink r:id="rId78">
        <w:r>
          <w:rPr>
            <w:color w:val="1155CC"/>
            <w:u w:val="single"/>
          </w:rPr>
          <w:t>https://gac.icann.org/briefing-material</w:t>
        </w:r>
        <w:r>
          <w:rPr>
            <w:color w:val="1155CC"/>
            <w:u w:val="single"/>
          </w:rPr>
          <w:t>s/public/gac-policy-background-whois-data-protection.pdf</w:t>
        </w:r>
      </w:hyperlink>
      <w:r>
        <w:t xml:space="preserve"> </w:t>
      </w:r>
    </w:p>
    <w:p w14:paraId="3B2B6A17" w14:textId="77777777" w:rsidR="00BF56E6" w:rsidRDefault="00BF56E6">
      <w:pPr>
        <w:spacing w:after="200"/>
        <w:rPr>
          <w:b/>
          <w:color w:val="1F4E79"/>
          <w:sz w:val="26"/>
          <w:szCs w:val="26"/>
        </w:rPr>
      </w:pPr>
    </w:p>
    <w:p w14:paraId="0B91B6D2" w14:textId="77777777" w:rsidR="00BF56E6" w:rsidRDefault="00BF56E6">
      <w:pPr>
        <w:spacing w:after="200"/>
        <w:rPr>
          <w:b/>
          <w:color w:val="1F4E79"/>
          <w:sz w:val="26"/>
          <w:szCs w:val="26"/>
        </w:rPr>
      </w:pPr>
    </w:p>
    <w:p w14:paraId="701F4E2F" w14:textId="77777777" w:rsidR="00BF56E6" w:rsidRDefault="00BF56E6">
      <w:pPr>
        <w:spacing w:after="200"/>
        <w:rPr>
          <w:b/>
          <w:color w:val="1F4E79"/>
          <w:sz w:val="26"/>
          <w:szCs w:val="26"/>
        </w:rPr>
      </w:pPr>
    </w:p>
    <w:p w14:paraId="7C074E3E" w14:textId="77777777" w:rsidR="00BF56E6" w:rsidRDefault="00BF56E6">
      <w:pPr>
        <w:spacing w:after="200"/>
        <w:rPr>
          <w:b/>
          <w:color w:val="1F4E79"/>
          <w:sz w:val="26"/>
          <w:szCs w:val="26"/>
        </w:rPr>
      </w:pPr>
    </w:p>
    <w:p w14:paraId="3F519364" w14:textId="77777777" w:rsidR="00BF56E6" w:rsidRDefault="00DA0CC4">
      <w:pPr>
        <w:spacing w:after="200"/>
      </w:pPr>
      <w:r>
        <w:rPr>
          <w:b/>
          <w:color w:val="1F4E79"/>
          <w:sz w:val="26"/>
          <w:szCs w:val="26"/>
        </w:rPr>
        <w:t>Document Administration</w:t>
      </w:r>
    </w:p>
    <w:tbl>
      <w:tblPr>
        <w:tblStyle w:val="a0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440"/>
      </w:tblGrid>
      <w:tr w:rsidR="00BF56E6" w14:paraId="2CDB5508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2857" w14:textId="77777777" w:rsidR="00BF56E6" w:rsidRDefault="00DA0CC4">
            <w:pPr>
              <w:widowControl w:val="0"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503F" w14:textId="77777777" w:rsidR="00BF56E6" w:rsidRDefault="00DA0CC4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ICANN74 GAC Session Briefing - RDS/WHOIS and Data Protection Policy</w:t>
            </w:r>
          </w:p>
        </w:tc>
      </w:tr>
      <w:tr w:rsidR="00BF56E6" w14:paraId="19FD81E6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ED11" w14:textId="77777777" w:rsidR="00BF56E6" w:rsidRDefault="00DA0CC4">
            <w:pPr>
              <w:widowControl w:val="0"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Distribution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AB3A" w14:textId="77777777" w:rsidR="00BF56E6" w:rsidRDefault="00DA0CC4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GAC Members and Public (before meeting)</w:t>
            </w:r>
          </w:p>
        </w:tc>
      </w:tr>
      <w:tr w:rsidR="00BF56E6" w14:paraId="1ABB48E0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2661" w14:textId="77777777" w:rsidR="00BF56E6" w:rsidRDefault="00DA0CC4">
            <w:pPr>
              <w:widowControl w:val="0"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Distribution Date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1833" w14:textId="77777777" w:rsidR="00BF56E6" w:rsidRDefault="00DA0CC4">
            <w:pPr>
              <w:widowControl w:val="0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 1</w:t>
            </w:r>
            <w:r>
              <w:rPr>
                <w:sz w:val="22"/>
                <w:szCs w:val="22"/>
              </w:rPr>
              <w:t>: 3 June 2022</w:t>
            </w:r>
          </w:p>
        </w:tc>
      </w:tr>
    </w:tbl>
    <w:p w14:paraId="1DE785E1" w14:textId="77777777" w:rsidR="00BF56E6" w:rsidRDefault="00BF56E6">
      <w:pPr>
        <w:spacing w:before="0" w:line="240" w:lineRule="auto"/>
        <w:rPr>
          <w:b/>
          <w:color w:val="1F4E79"/>
          <w:sz w:val="26"/>
          <w:szCs w:val="26"/>
        </w:rPr>
      </w:pPr>
    </w:p>
    <w:sectPr w:rsidR="00BF56E6">
      <w:headerReference w:type="default" r:id="rId79"/>
      <w:footerReference w:type="default" r:id="rId80"/>
      <w:headerReference w:type="first" r:id="rId81"/>
      <w:footerReference w:type="first" r:id="rId82"/>
      <w:pgSz w:w="11906" w:h="16838"/>
      <w:pgMar w:top="1080" w:right="1080" w:bottom="1095" w:left="108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FAC1" w14:textId="77777777" w:rsidR="00DA0CC4" w:rsidRDefault="00DA0CC4">
      <w:pPr>
        <w:spacing w:before="0" w:line="240" w:lineRule="auto"/>
      </w:pPr>
      <w:r>
        <w:separator/>
      </w:r>
    </w:p>
  </w:endnote>
  <w:endnote w:type="continuationSeparator" w:id="0">
    <w:p w14:paraId="12216C0B" w14:textId="77777777" w:rsidR="00DA0CC4" w:rsidRDefault="00DA0C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2F13" w14:textId="77777777" w:rsidR="00BF56E6" w:rsidRDefault="00BF56E6">
    <w:pPr>
      <w:pBdr>
        <w:top w:val="nil"/>
        <w:between w:val="single" w:sz="8" w:space="1" w:color="1F4E79"/>
      </w:pBdr>
      <w:tabs>
        <w:tab w:val="right" w:pos="9720"/>
      </w:tabs>
      <w:spacing w:before="0" w:line="271" w:lineRule="auto"/>
      <w:rPr>
        <w:color w:val="1F4E79"/>
        <w:sz w:val="20"/>
        <w:szCs w:val="20"/>
      </w:rPr>
    </w:pPr>
  </w:p>
  <w:p w14:paraId="28B1C3B8" w14:textId="77777777" w:rsidR="00BF56E6" w:rsidRDefault="00DA0CC4">
    <w:pPr>
      <w:pBdr>
        <w:top w:val="single" w:sz="8" w:space="1" w:color="1F4E79"/>
      </w:pBdr>
      <w:tabs>
        <w:tab w:val="right" w:pos="9720"/>
      </w:tabs>
      <w:rPr>
        <w:color w:val="1F4E79"/>
        <w:sz w:val="20"/>
        <w:szCs w:val="20"/>
      </w:rPr>
    </w:pPr>
    <w:r>
      <w:rPr>
        <w:color w:val="1F4E79"/>
        <w:sz w:val="20"/>
        <w:szCs w:val="20"/>
      </w:rPr>
      <w:t xml:space="preserve">ICANN74 - GAC Agenda Item 6 </w:t>
    </w:r>
    <w:r>
      <w:rPr>
        <w:color w:val="1F4E79"/>
        <w:sz w:val="20"/>
        <w:szCs w:val="20"/>
      </w:rPr>
      <w:t xml:space="preserve">- </w:t>
    </w:r>
    <w:r>
      <w:rPr>
        <w:color w:val="1F4E79"/>
        <w:sz w:val="20"/>
        <w:szCs w:val="20"/>
      </w:rPr>
      <w:t>WHOIS and Data Protection Policy</w:t>
    </w:r>
    <w:r>
      <w:rPr>
        <w:color w:val="1F4E79"/>
        <w:sz w:val="20"/>
        <w:szCs w:val="20"/>
      </w:rPr>
      <w:t xml:space="preserve"> </w:t>
    </w:r>
    <w:r>
      <w:rPr>
        <w:color w:val="1F4E79"/>
        <w:sz w:val="20"/>
        <w:szCs w:val="20"/>
      </w:rPr>
      <w:tab/>
      <w:t xml:space="preserve">Page </w:t>
    </w:r>
    <w:r>
      <w:rPr>
        <w:color w:val="1F4E79"/>
        <w:sz w:val="20"/>
        <w:szCs w:val="20"/>
      </w:rPr>
      <w:fldChar w:fldCharType="begin"/>
    </w:r>
    <w:r>
      <w:rPr>
        <w:color w:val="1F4E79"/>
        <w:sz w:val="20"/>
        <w:szCs w:val="20"/>
      </w:rPr>
      <w:instrText>PAGE</w:instrText>
    </w:r>
    <w:r>
      <w:rPr>
        <w:color w:val="1F4E79"/>
        <w:sz w:val="20"/>
        <w:szCs w:val="20"/>
      </w:rPr>
      <w:fldChar w:fldCharType="separate"/>
    </w:r>
    <w:r w:rsidR="0009033B">
      <w:rPr>
        <w:noProof/>
        <w:color w:val="1F4E79"/>
        <w:sz w:val="20"/>
        <w:szCs w:val="20"/>
      </w:rPr>
      <w:t>2</w:t>
    </w:r>
    <w:r>
      <w:rPr>
        <w:color w:val="1F4E79"/>
        <w:sz w:val="20"/>
        <w:szCs w:val="20"/>
      </w:rPr>
      <w:fldChar w:fldCharType="end"/>
    </w:r>
    <w:r>
      <w:rPr>
        <w:color w:val="1F4E79"/>
        <w:sz w:val="20"/>
        <w:szCs w:val="20"/>
      </w:rPr>
      <w:t xml:space="preserve"> of</w:t>
    </w:r>
    <w:r>
      <w:rPr>
        <w:color w:val="1F4E79"/>
        <w:sz w:val="20"/>
        <w:szCs w:val="20"/>
      </w:rPr>
      <w:t xml:space="preserve"> </w:t>
    </w:r>
    <w:r>
      <w:rPr>
        <w:color w:val="1F4E79"/>
        <w:sz w:val="20"/>
        <w:szCs w:val="20"/>
      </w:rPr>
      <w:fldChar w:fldCharType="begin"/>
    </w:r>
    <w:r>
      <w:rPr>
        <w:color w:val="1F4E79"/>
        <w:sz w:val="20"/>
        <w:szCs w:val="20"/>
      </w:rPr>
      <w:instrText>NUMPAGES</w:instrText>
    </w:r>
    <w:r>
      <w:rPr>
        <w:color w:val="1F4E79"/>
        <w:sz w:val="20"/>
        <w:szCs w:val="20"/>
      </w:rPr>
      <w:fldChar w:fldCharType="separate"/>
    </w:r>
    <w:r w:rsidR="0009033B">
      <w:rPr>
        <w:noProof/>
        <w:color w:val="1F4E79"/>
        <w:sz w:val="20"/>
        <w:szCs w:val="20"/>
      </w:rPr>
      <w:t>3</w:t>
    </w:r>
    <w:r>
      <w:rPr>
        <w:color w:val="1F4E79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7F6F" w14:textId="77777777" w:rsidR="00BF56E6" w:rsidRDefault="00BF56E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2590" w14:textId="77777777" w:rsidR="00DA0CC4" w:rsidRDefault="00DA0CC4">
      <w:pPr>
        <w:spacing w:before="0" w:line="240" w:lineRule="auto"/>
      </w:pPr>
      <w:r>
        <w:separator/>
      </w:r>
    </w:p>
  </w:footnote>
  <w:footnote w:type="continuationSeparator" w:id="0">
    <w:p w14:paraId="69FD8AE7" w14:textId="77777777" w:rsidR="00DA0CC4" w:rsidRDefault="00DA0CC4">
      <w:pPr>
        <w:spacing w:before="0" w:line="240" w:lineRule="auto"/>
      </w:pPr>
      <w:r>
        <w:continuationSeparator/>
      </w:r>
    </w:p>
  </w:footnote>
  <w:footnote w:id="1">
    <w:p w14:paraId="473B5959" w14:textId="77777777" w:rsidR="00BF56E6" w:rsidRDefault="00DA0CC4">
      <w:pPr>
        <w:spacing w:before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See the </w:t>
      </w:r>
      <w:hyperlink r:id="rId1">
        <w:r>
          <w:rPr>
            <w:color w:val="1155CC"/>
            <w:sz w:val="20"/>
            <w:szCs w:val="20"/>
            <w:u w:val="single"/>
          </w:rPr>
          <w:t>Pre-ICANN74 ICANN org’s briefing to the GAC</w:t>
        </w:r>
      </w:hyperlink>
      <w:r>
        <w:rPr>
          <w:sz w:val="20"/>
          <w:szCs w:val="20"/>
        </w:rPr>
        <w:t xml:space="preserve"> on 31 May 2022 (</w:t>
      </w:r>
      <w:r>
        <w:rPr>
          <w:i/>
          <w:sz w:val="20"/>
          <w:szCs w:val="20"/>
        </w:rPr>
        <w:t>GAC website login required</w:t>
      </w:r>
      <w:r>
        <w:rPr>
          <w:sz w:val="20"/>
          <w:szCs w:val="20"/>
        </w:rPr>
        <w:t>)</w:t>
      </w:r>
    </w:p>
  </w:footnote>
  <w:footnote w:id="2">
    <w:p w14:paraId="4ADF914F" w14:textId="77777777" w:rsidR="00BF56E6" w:rsidRDefault="00DA0CC4">
      <w:pPr>
        <w:spacing w:before="0" w:line="240" w:lineRule="auto"/>
        <w:ind w:left="90" w:hanging="9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See details on the delayed delivery of the first two assignments, the expected stepping down of the current Chair, and a dependency identified on ICANN’s expected outreach to the EDPB , in the R</w:t>
      </w:r>
      <w:r>
        <w:rPr>
          <w:sz w:val="20"/>
          <w:szCs w:val="20"/>
        </w:rPr>
        <w:t xml:space="preserve">DA Scoping effort </w:t>
      </w:r>
      <w:hyperlink r:id="rId2">
        <w:r>
          <w:rPr>
            <w:color w:val="1155CC"/>
            <w:sz w:val="20"/>
            <w:szCs w:val="20"/>
            <w:u w:val="single"/>
          </w:rPr>
          <w:t>project change request</w:t>
        </w:r>
      </w:hyperlink>
      <w:r>
        <w:rPr>
          <w:sz w:val="20"/>
          <w:szCs w:val="20"/>
        </w:rPr>
        <w:t xml:space="preserve"> sent to the GNSO Council on 9 May 2022.</w:t>
      </w:r>
    </w:p>
  </w:footnote>
  <w:footnote w:id="3">
    <w:p w14:paraId="7DD665B4" w14:textId="77777777" w:rsidR="00BF56E6" w:rsidRDefault="00DA0CC4">
      <w:pPr>
        <w:spacing w:before="0" w:line="240" w:lineRule="auto"/>
        <w:ind w:left="9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During a GAC/GNSO Leadership call (29 September 2020) and during the pre-ICANN69 </w:t>
      </w:r>
      <w:hyperlink r:id="rId3">
        <w:r>
          <w:rPr>
            <w:color w:val="1155CC"/>
            <w:sz w:val="20"/>
            <w:szCs w:val="20"/>
            <w:u w:val="single"/>
          </w:rPr>
          <w:t>Joint GAC/GNSO Call</w:t>
        </w:r>
      </w:hyperlink>
      <w:r>
        <w:rPr>
          <w:sz w:val="20"/>
          <w:szCs w:val="20"/>
        </w:rPr>
        <w:t xml:space="preserve"> (1 October 2020), The GNSO leadership clarified that it intends to focus this consultation on the issue of financial sustainability and that it was not expect</w:t>
      </w:r>
      <w:r>
        <w:rPr>
          <w:sz w:val="20"/>
          <w:szCs w:val="20"/>
        </w:rPr>
        <w:t>ed to change its policy recommendations to the ICANN Board.</w:t>
      </w:r>
    </w:p>
  </w:footnote>
  <w:footnote w:id="4">
    <w:p w14:paraId="25089AB6" w14:textId="77777777" w:rsidR="00BF56E6" w:rsidRDefault="00DA0CC4">
      <w:pPr>
        <w:spacing w:before="0" w:line="240" w:lineRule="auto"/>
        <w:ind w:left="90" w:hanging="9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The approach proposed by ICANN org in the SSAD Light Concept Paper was presented to the GAC during the </w:t>
      </w:r>
      <w:hyperlink r:id="rId4">
        <w:r>
          <w:rPr>
            <w:color w:val="1155CC"/>
            <w:sz w:val="20"/>
            <w:szCs w:val="20"/>
            <w:u w:val="single"/>
          </w:rPr>
          <w:t>Pre-ICANN74 ICANN org’s briefing to the GAC</w:t>
        </w:r>
      </w:hyperlink>
      <w:r>
        <w:rPr>
          <w:sz w:val="20"/>
          <w:szCs w:val="20"/>
        </w:rPr>
        <w:t xml:space="preserve"> on 31 May 2022 (</w:t>
      </w:r>
      <w:r>
        <w:rPr>
          <w:i/>
          <w:sz w:val="20"/>
          <w:szCs w:val="20"/>
        </w:rPr>
        <w:t>GAC website login required</w:t>
      </w:r>
      <w:r>
        <w:rPr>
          <w:sz w:val="20"/>
          <w:szCs w:val="20"/>
        </w:rPr>
        <w:t>)</w:t>
      </w:r>
    </w:p>
  </w:footnote>
  <w:footnote w:id="5">
    <w:p w14:paraId="5623F662" w14:textId="77777777" w:rsidR="00BF56E6" w:rsidRDefault="00DA0CC4">
      <w:pPr>
        <w:spacing w:before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See </w:t>
      </w:r>
      <w:hyperlink r:id="rId5">
        <w:r>
          <w:rPr>
            <w:color w:val="1155CC"/>
            <w:sz w:val="20"/>
            <w:szCs w:val="20"/>
            <w:u w:val="single"/>
          </w:rPr>
          <w:t>minutes</w:t>
        </w:r>
      </w:hyperlink>
      <w:r>
        <w:rPr>
          <w:sz w:val="20"/>
          <w:szCs w:val="20"/>
        </w:rPr>
        <w:t xml:space="preserve"> of </w:t>
      </w:r>
      <w:r>
        <w:rPr>
          <w:sz w:val="20"/>
          <w:szCs w:val="20"/>
        </w:rPr>
        <w:t>the GNSO Council meeting on 19 May 2022.</w:t>
      </w:r>
    </w:p>
  </w:footnote>
  <w:footnote w:id="6">
    <w:p w14:paraId="3CAFE545" w14:textId="77777777" w:rsidR="00BF56E6" w:rsidRDefault="00DA0CC4">
      <w:pPr>
        <w:spacing w:before="0" w:line="240" w:lineRule="auto"/>
        <w:ind w:left="9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See Accuracy Scoping Team working documents: </w:t>
      </w:r>
      <w:hyperlink r:id="rId6">
        <w:r>
          <w:rPr>
            <w:color w:val="1155CC"/>
            <w:sz w:val="20"/>
            <w:szCs w:val="20"/>
            <w:u w:val="single"/>
          </w:rPr>
          <w:t>Write-up on Assignment 1 and 2</w:t>
        </w:r>
      </w:hyperlink>
      <w:r>
        <w:rPr>
          <w:sz w:val="20"/>
          <w:szCs w:val="20"/>
        </w:rPr>
        <w:t xml:space="preserve">, including separate </w:t>
      </w:r>
      <w:hyperlink r:id="rId7">
        <w:r>
          <w:rPr>
            <w:color w:val="1155CC"/>
            <w:sz w:val="20"/>
            <w:szCs w:val="20"/>
            <w:u w:val="single"/>
          </w:rPr>
          <w:t>section C.2.2</w:t>
        </w:r>
      </w:hyperlink>
    </w:p>
  </w:footnote>
  <w:footnote w:id="7">
    <w:p w14:paraId="42FB4F79" w14:textId="77777777" w:rsidR="00BF56E6" w:rsidRDefault="00DA0CC4">
      <w:pPr>
        <w:spacing w:before="0" w:line="240" w:lineRule="auto"/>
        <w:ind w:left="9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See </w:t>
      </w:r>
      <w:hyperlink r:id="rId8">
        <w:r>
          <w:rPr>
            <w:color w:val="1155CC"/>
            <w:sz w:val="18"/>
            <w:szCs w:val="18"/>
            <w:u w:val="single"/>
          </w:rPr>
          <w:t>https://www.icann.org/resources/pages/thick-whois-transition-policy-2017-02-01-en</w:t>
        </w:r>
      </w:hyperlink>
      <w:r>
        <w:rPr>
          <w:sz w:val="18"/>
          <w:szCs w:val="18"/>
        </w:rPr>
        <w:t xml:space="preserve"> and the related recent </w:t>
      </w:r>
      <w:hyperlink r:id="rId9">
        <w:r>
          <w:rPr>
            <w:color w:val="1155CC"/>
            <w:sz w:val="18"/>
            <w:szCs w:val="18"/>
            <w:u w:val="single"/>
          </w:rPr>
          <w:t>decision</w:t>
        </w:r>
      </w:hyperlink>
      <w:r>
        <w:rPr>
          <w:sz w:val="18"/>
          <w:szCs w:val="18"/>
        </w:rPr>
        <w:t xml:space="preserve"> by the GNSO Council (29 January 2021)</w:t>
      </w:r>
    </w:p>
  </w:footnote>
  <w:footnote w:id="8">
    <w:p w14:paraId="3E24B2C5" w14:textId="77777777" w:rsidR="00BF56E6" w:rsidRDefault="00DA0CC4">
      <w:pPr>
        <w:spacing w:before="0" w:line="240" w:lineRule="auto"/>
        <w:ind w:left="9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See full analysis of the impact of EPDP Phase 1 on the Privacy/Proxy Services Accreditation policy implementation in a </w:t>
      </w:r>
      <w:hyperlink r:id="rId10">
        <w:r>
          <w:rPr>
            <w:color w:val="1155CC"/>
            <w:sz w:val="18"/>
            <w:szCs w:val="18"/>
            <w:u w:val="single"/>
          </w:rPr>
          <w:t>detailed report</w:t>
        </w:r>
      </w:hyperlink>
      <w:r>
        <w:rPr>
          <w:sz w:val="18"/>
          <w:szCs w:val="18"/>
        </w:rPr>
        <w:t xml:space="preserve"> by ICANN org (12 January 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6939" w14:textId="77777777" w:rsidR="00BF56E6" w:rsidRDefault="00BF56E6">
    <w:pPr>
      <w:tabs>
        <w:tab w:val="center" w:pos="5040"/>
        <w:tab w:val="right" w:pos="9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EA02" w14:textId="77777777" w:rsidR="00BF56E6" w:rsidRDefault="00DA0CC4">
    <w:pPr>
      <w:tabs>
        <w:tab w:val="center" w:pos="5040"/>
        <w:tab w:val="right" w:pos="9810"/>
      </w:tabs>
    </w:pPr>
    <w:r>
      <w:tab/>
    </w:r>
    <w:r>
      <w:tab/>
    </w:r>
    <w:r>
      <w:rPr>
        <w:noProof/>
      </w:rPr>
      <w:drawing>
        <wp:inline distT="114300" distB="114300" distL="114300" distR="114300" wp14:anchorId="33F23460" wp14:editId="6DD0219C">
          <wp:extent cx="1359225" cy="8286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423" r="6446"/>
                  <a:stretch>
                    <a:fillRect/>
                  </a:stretch>
                </pic:blipFill>
                <pic:spPr>
                  <a:xfrm>
                    <a:off x="0" y="0"/>
                    <a:ext cx="13592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4A65C99" wp14:editId="5D3B4E65">
          <wp:simplePos x="0" y="0"/>
          <wp:positionH relativeFrom="column">
            <wp:posOffset>1</wp:posOffset>
          </wp:positionH>
          <wp:positionV relativeFrom="paragraph">
            <wp:posOffset>171450</wp:posOffset>
          </wp:positionV>
          <wp:extent cx="2162175" cy="558165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6666" t="17948" r="7083" b="10637"/>
                  <a:stretch>
                    <a:fillRect/>
                  </a:stretch>
                </pic:blipFill>
                <pic:spPr>
                  <a:xfrm>
                    <a:off x="0" y="0"/>
                    <a:ext cx="2162175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B012D7" w14:textId="77777777" w:rsidR="00BF56E6" w:rsidRDefault="00BF56E6">
    <w:pPr>
      <w:tabs>
        <w:tab w:val="center" w:pos="5040"/>
        <w:tab w:val="right" w:pos="9810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63B"/>
    <w:multiLevelType w:val="multilevel"/>
    <w:tmpl w:val="57605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965F1B"/>
    <w:multiLevelType w:val="multilevel"/>
    <w:tmpl w:val="D0A4BFE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603D59"/>
    <w:multiLevelType w:val="multilevel"/>
    <w:tmpl w:val="A064CA5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990" w:hanging="360"/>
      </w:pPr>
      <w:rPr>
        <w:u w:val="none"/>
      </w:rPr>
    </w:lvl>
    <w:lvl w:ilvl="2">
      <w:start w:val="1"/>
      <w:numFmt w:val="bullet"/>
      <w:lvlText w:val="–"/>
      <w:lvlJc w:val="left"/>
      <w:pPr>
        <w:ind w:left="15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D6D48"/>
    <w:multiLevelType w:val="multilevel"/>
    <w:tmpl w:val="44443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63284707">
    <w:abstractNumId w:val="2"/>
  </w:num>
  <w:num w:numId="2" w16cid:durableId="164901624">
    <w:abstractNumId w:val="3"/>
  </w:num>
  <w:num w:numId="3" w16cid:durableId="2106223519">
    <w:abstractNumId w:val="0"/>
  </w:num>
  <w:num w:numId="4" w16cid:durableId="155689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E6"/>
    <w:rsid w:val="0009033B"/>
    <w:rsid w:val="00BF56E6"/>
    <w:rsid w:val="00D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64A056"/>
  <w15:docId w15:val="{F257901E-2E80-954F-8E64-17E084C8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GB" w:bidi="ar-SA"/>
      </w:rPr>
    </w:rPrDefault>
    <w:pPrDefault>
      <w:pPr>
        <w:spacing w:before="120" w:line="27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1F4E79"/>
      <w:sz w:val="30"/>
      <w:szCs w:val="3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68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single" w:sz="4" w:space="1" w:color="1F4E79"/>
        <w:bottom w:val="single" w:sz="4" w:space="1" w:color="1F4E79"/>
      </w:pBdr>
      <w:spacing w:after="200"/>
    </w:pPr>
    <w:rPr>
      <w:b/>
      <w:color w:val="1F4E79"/>
      <w:sz w:val="30"/>
      <w:szCs w:val="30"/>
      <w:highlight w:val="yellow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m.icann.org/pipermail/gnso-accuracy-st/attachments/20220119/9bd5bc92/ICANNOrgMemo-WHOISARSOverview-January2022-0001.pdf" TargetMode="External"/><Relationship Id="rId21" Type="http://schemas.openxmlformats.org/officeDocument/2006/relationships/hyperlink" Target="https://mm.icann.org/pipermail/gnso-epdpp2-smallteam/2022-April/000124.html" TargetMode="External"/><Relationship Id="rId42" Type="http://schemas.openxmlformats.org/officeDocument/2006/relationships/hyperlink" Target="https://www.icann.org/resources/board-material/resolutions-2019-05-15-en" TargetMode="External"/><Relationship Id="rId47" Type="http://schemas.openxmlformats.org/officeDocument/2006/relationships/hyperlink" Target="https://community.icann.org/display/RDPIRT/RegDataPolicy+Implementation+Resource+Documents?preview=/124847947/195658689/EPDP%20Phase%201%20Timeline%20(Updated%2020%20April%202022).pdf" TargetMode="External"/><Relationship Id="rId63" Type="http://schemas.openxmlformats.org/officeDocument/2006/relationships/hyperlink" Target="https://mm.icann.org/pipermail/gnso-accuracy-st/2022-May/000444.html" TargetMode="External"/><Relationship Id="rId68" Type="http://schemas.openxmlformats.org/officeDocument/2006/relationships/hyperlink" Target="https://www.icann.org/en/system/files/files/resolutions-icann71-gac-advice-scorecard-12sep21-en.pdf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gac.icann.org/contentMigrated/proposed-design-for-governmental-accreditation-authorities-in-a-standardized-system-for-access-disclosure-of-registration-data" TargetMode="External"/><Relationship Id="rId11" Type="http://schemas.openxmlformats.org/officeDocument/2006/relationships/hyperlink" Target="https://www.icann.org/en/system/files/files/ssad-non-public-registration-data-odp-scoping-25mar21-en.pdf" TargetMode="External"/><Relationship Id="rId32" Type="http://schemas.openxmlformats.org/officeDocument/2006/relationships/hyperlink" Target="https://gac.icann.org/contentMigrated/gac-response-to-icann-board-regarding-epdp-phase-1-policy-recommendations" TargetMode="External"/><Relationship Id="rId37" Type="http://schemas.openxmlformats.org/officeDocument/2006/relationships/hyperlink" Target="https://gac.icann.org/contentMigrated/icann66-montreal-communique" TargetMode="External"/><Relationship Id="rId53" Type="http://schemas.openxmlformats.org/officeDocument/2006/relationships/hyperlink" Target="https://gac.icann.org/contentMigrated/gac-response-to-board-clarifying-questions-on-gac-icann70-communique-whois-data-protection" TargetMode="External"/><Relationship Id="rId58" Type="http://schemas.openxmlformats.org/officeDocument/2006/relationships/hyperlink" Target="https://www.icann.org/en/system/files/correspondence/botterman-to-ismail-09dec21-en.pdf" TargetMode="External"/><Relationship Id="rId74" Type="http://schemas.openxmlformats.org/officeDocument/2006/relationships/hyperlink" Target="https://gac.icann.org/statement/public/gac-minority-statement-epdp-2a-10sep21.pdf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docs.google.com/document/d/13sP-2z7rusEYrDyntrgm-tcIavPMJndU/edit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www.icann.org/en/system/files/correspondence/botterman-to-fouquart-24jan22-en.pdf" TargetMode="External"/><Relationship Id="rId14" Type="http://schemas.openxmlformats.org/officeDocument/2006/relationships/hyperlink" Target="https://www.icann.org/ssadodp" TargetMode="External"/><Relationship Id="rId22" Type="http://schemas.openxmlformats.org/officeDocument/2006/relationships/hyperlink" Target="https://gnso.icann.org/sites/default/files/file/field-file-attach/registration-data-accuracy-scoping-team-formation-instructions-09jul21-en.pdf" TargetMode="External"/><Relationship Id="rId27" Type="http://schemas.openxmlformats.org/officeDocument/2006/relationships/hyperlink" Target="https://community.icann.org/pages/viewpage.action?pageId=184996761" TargetMode="External"/><Relationship Id="rId30" Type="http://schemas.openxmlformats.org/officeDocument/2006/relationships/hyperlink" Target="https://gnso.icann.org/sites/default/files/policy/2022/correspondence/palage-to-gnso-council-10may22-en.pdf" TargetMode="External"/><Relationship Id="rId35" Type="http://schemas.openxmlformats.org/officeDocument/2006/relationships/hyperlink" Target="https://www.icann.org/resources/pages/interim-registration-data-policy-en" TargetMode="External"/><Relationship Id="rId43" Type="http://schemas.openxmlformats.org/officeDocument/2006/relationships/hyperlink" Target="https://gac.icann.org/contentMigrated/icann66-montreal-communique" TargetMode="External"/><Relationship Id="rId48" Type="http://schemas.openxmlformats.org/officeDocument/2006/relationships/hyperlink" Target="https://gnso.icann.org/en/correspondence/epdp-phase-2-temp-spec-gtld-registration-data-2-31jul20-en.pdf" TargetMode="External"/><Relationship Id="rId56" Type="http://schemas.openxmlformats.org/officeDocument/2006/relationships/hyperlink" Target="https://gnso.icann.org/sites/default/files/file/field-file-attach/epdp-phase-2a-updated-final-report-03sep21-en.pdf" TargetMode="External"/><Relationship Id="rId64" Type="http://schemas.openxmlformats.org/officeDocument/2006/relationships/hyperlink" Target="https://www.icann.org/en/system/files/files/ssad-oda-25jan22-en.pdf" TargetMode="External"/><Relationship Id="rId69" Type="http://schemas.openxmlformats.org/officeDocument/2006/relationships/hyperlink" Target="https://gac.icann.org/contentMigrated/icann70-gac-communique" TargetMode="External"/><Relationship Id="rId77" Type="http://schemas.openxmlformats.org/officeDocument/2006/relationships/hyperlink" Target="https://gac.icann.org/advice/correspondence/incoming/public/FINAL-GAC-ICANN70-Virtual%20Community%20Forum%20Communique-CQ-Scorecard-21April2021.pdf?language_id=1" TargetMode="External"/><Relationship Id="rId8" Type="http://schemas.openxmlformats.org/officeDocument/2006/relationships/hyperlink" Target="https://gnso.icann.org/sites/default/files/policy/2022/correspondence/fouquart-to-botterman-27apr22-en.pdf" TargetMode="External"/><Relationship Id="rId51" Type="http://schemas.openxmlformats.org/officeDocument/2006/relationships/hyperlink" Target="https://gac.icann.org/statement/public/gac-minority-statement-epdp-phase2-24aug20.pdf" TargetMode="External"/><Relationship Id="rId72" Type="http://schemas.openxmlformats.org/officeDocument/2006/relationships/hyperlink" Target="https://gac.icann.org/statement/public/gac-minority-statement-epdp-phase2-24aug20.pdf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surveymonkey.com/r/ssadodpgac" TargetMode="External"/><Relationship Id="rId17" Type="http://schemas.openxmlformats.org/officeDocument/2006/relationships/hyperlink" Target="https://gac.icann.org/file-asset/public/gac-accreditation-principles-input-to-epdp-21jan20.pdf" TargetMode="External"/><Relationship Id="rId25" Type="http://schemas.openxmlformats.org/officeDocument/2006/relationships/hyperlink" Target="https://www.icann.org/en/system/files/correspondence/swinehart-to-fouquart-26feb21-en.pdf" TargetMode="External"/><Relationship Id="rId33" Type="http://schemas.openxmlformats.org/officeDocument/2006/relationships/hyperlink" Target="https://www.icann.org/resources/board-material/resolutions-2019-05-15-en" TargetMode="External"/><Relationship Id="rId38" Type="http://schemas.openxmlformats.org/officeDocument/2006/relationships/hyperlink" Target="https://gac.icann.org/advice/itemized/2019-10-06-domain-name-registration-directory-service-and-data-protection" TargetMode="External"/><Relationship Id="rId46" Type="http://schemas.openxmlformats.org/officeDocument/2006/relationships/hyperlink" Target="https://gac.icann.org/contentMigrated/icann73-gac-communique" TargetMode="External"/><Relationship Id="rId59" Type="http://schemas.openxmlformats.org/officeDocument/2006/relationships/hyperlink" Target="https://gac.icann.org/contentMigrated/gac-response-to-icann-board-on-epdp-phase-2a-recommendations" TargetMode="External"/><Relationship Id="rId67" Type="http://schemas.openxmlformats.org/officeDocument/2006/relationships/hyperlink" Target="https://gac.icann.org/contentMigrated/icann71-gac-communique" TargetMode="External"/><Relationship Id="rId20" Type="http://schemas.openxmlformats.org/officeDocument/2006/relationships/hyperlink" Target="https://gnso.icann.org/sites/default/files/policy/2022/correspondence/fouquart-to-botterman-27apr22-en.pdf" TargetMode="External"/><Relationship Id="rId41" Type="http://schemas.openxmlformats.org/officeDocument/2006/relationships/hyperlink" Target="https://www.icann.org/en/system/files/files/resolutions-icann72-gac-advice-scorecard-16jan22-en.pdf" TargetMode="External"/><Relationship Id="rId54" Type="http://schemas.openxmlformats.org/officeDocument/2006/relationships/hyperlink" Target="https://gac.icann.org/file-asset/FINAL-GAC-ICANN70-Virtual%20Community%20Forum%20Communique-CQ-Scorecard-21April2021.pdf" TargetMode="External"/><Relationship Id="rId62" Type="http://schemas.openxmlformats.org/officeDocument/2006/relationships/hyperlink" Target="https://docs.google.com/document/d/1CYs9mLHsKcZevmZtFrQBDXbv_nkQ5PKe/edit" TargetMode="External"/><Relationship Id="rId70" Type="http://schemas.openxmlformats.org/officeDocument/2006/relationships/hyperlink" Target="https://www.icann.org/en/system/files/files/resolutions-icann70-gac-advice-scorecard-12may21-en.pdf" TargetMode="External"/><Relationship Id="rId75" Type="http://schemas.openxmlformats.org/officeDocument/2006/relationships/hyperlink" Target="https://gnso.icann.org/sites/default/files/file/field-file-attach/epdp-phase-2a-updated-final-report-03sep21-en.pdf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cann.org/ssadodp" TargetMode="External"/><Relationship Id="rId23" Type="http://schemas.openxmlformats.org/officeDocument/2006/relationships/hyperlink" Target="https://gac.icann.org/contentMigrated/icann72-gac-communique" TargetMode="External"/><Relationship Id="rId28" Type="http://schemas.openxmlformats.org/officeDocument/2006/relationships/hyperlink" Target="https://gac.icann.org/contentMigrated/icann72-gac-communique" TargetMode="External"/><Relationship Id="rId36" Type="http://schemas.openxmlformats.org/officeDocument/2006/relationships/hyperlink" Target="https://community.icann.org/display/RDPIPRP/Registration+Data+Policy+Implementation+Pre-IRT+Home" TargetMode="External"/><Relationship Id="rId49" Type="http://schemas.openxmlformats.org/officeDocument/2006/relationships/hyperlink" Target="https://gac.icann.org/statement/public/gac-minority-statement-epdp-phase2-24aug20.pdf" TargetMode="External"/><Relationship Id="rId57" Type="http://schemas.openxmlformats.org/officeDocument/2006/relationships/hyperlink" Target="https://gac.icann.org/statement/public/gac-minority-statement-epdp-2a-10sep21.pdf" TargetMode="External"/><Relationship Id="rId10" Type="http://schemas.openxmlformats.org/officeDocument/2006/relationships/hyperlink" Target="https://www.icann.org/resources/board-material/resolutions-2021-03-25-en" TargetMode="External"/><Relationship Id="rId31" Type="http://schemas.openxmlformats.org/officeDocument/2006/relationships/hyperlink" Target="https://mm.icann.org/pipermail/gnso-accuracy-st/2022-May/000444.html" TargetMode="External"/><Relationship Id="rId44" Type="http://schemas.openxmlformats.org/officeDocument/2006/relationships/hyperlink" Target="https://gac.icann.org/contentMigrated/icann70-gac-communique" TargetMode="External"/><Relationship Id="rId52" Type="http://schemas.openxmlformats.org/officeDocument/2006/relationships/hyperlink" Target="https://www.icann.org/en/system/files/files/resolutions-icann70-gac-advice-scorecard-12may21-en.pdf" TargetMode="External"/><Relationship Id="rId60" Type="http://schemas.openxmlformats.org/officeDocument/2006/relationships/hyperlink" Target="https://www.icann.org/resources/board-material/resolutions-2022-03-10-en" TargetMode="External"/><Relationship Id="rId65" Type="http://schemas.openxmlformats.org/officeDocument/2006/relationships/hyperlink" Target="https://gac.icann.org/contentMigrated/icann72-gac-communique?language_id=1" TargetMode="External"/><Relationship Id="rId73" Type="http://schemas.openxmlformats.org/officeDocument/2006/relationships/hyperlink" Target="https://gnso.icann.org/en/correspondence/epdp-phase-2-temp-spec-gtld-registration-data-2-31jul20-en.pdf" TargetMode="External"/><Relationship Id="rId78" Type="http://schemas.openxmlformats.org/officeDocument/2006/relationships/hyperlink" Target="https://gac.icann.org/briefing-materials/public/gac-policy-background-whois-data-protection.pdf" TargetMode="External"/><Relationship Id="rId8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gnso.icann.org/en/council/resolutions/2020" TargetMode="External"/><Relationship Id="rId13" Type="http://schemas.openxmlformats.org/officeDocument/2006/relationships/hyperlink" Target="https://mm.icann.org/mailman/private/gac/2021-July/019534.html" TargetMode="External"/><Relationship Id="rId18" Type="http://schemas.openxmlformats.org/officeDocument/2006/relationships/hyperlink" Target="https://www.icann.org/en/system/files/files/ssad-oda-25jan22-en.pdf" TargetMode="External"/><Relationship Id="rId39" Type="http://schemas.openxmlformats.org/officeDocument/2006/relationships/hyperlink" Target="https://www.icann.org/en/system/files/files/resolutions-montreal66-gac-advice-scorecard-26jan20-en.pdf" TargetMode="External"/><Relationship Id="rId34" Type="http://schemas.openxmlformats.org/officeDocument/2006/relationships/hyperlink" Target="https://www.icann.org/resources/pages/gtld-registration-data-specs-en/" TargetMode="External"/><Relationship Id="rId50" Type="http://schemas.openxmlformats.org/officeDocument/2006/relationships/hyperlink" Target="https://gac.icann.org/contentMigrated/icann70-gac-communique" TargetMode="External"/><Relationship Id="rId55" Type="http://schemas.openxmlformats.org/officeDocument/2006/relationships/hyperlink" Target="https://gac.icann.org/sessions/icann71-gac-communique-clarification-call-with-the-icann-board" TargetMode="External"/><Relationship Id="rId76" Type="http://schemas.openxmlformats.org/officeDocument/2006/relationships/hyperlink" Target="https://gac.icann.org/contentMigrated/gac-response-to-board-clarifying-questions-on-gac-icann70-communique-whois-data-protection" TargetMode="External"/><Relationship Id="rId7" Type="http://schemas.openxmlformats.org/officeDocument/2006/relationships/hyperlink" Target="https://www.icann.org/en/system/files/files/ssad-oda-25jan22-en.pdf" TargetMode="External"/><Relationship Id="rId71" Type="http://schemas.openxmlformats.org/officeDocument/2006/relationships/hyperlink" Target="https://gac.icann.org/advice/correspondence/incoming/20211116/icann-board-chair-letter-to-gac-chair-regarding-the-clarifying-questions-on-the-icann70-gac-communique-on-whois-data-protection" TargetMode="External"/><Relationship Id="rId2" Type="http://schemas.openxmlformats.org/officeDocument/2006/relationships/styles" Target="styles.xml"/><Relationship Id="rId29" Type="http://schemas.openxmlformats.org/officeDocument/2006/relationships/hyperlink" Target="https://gac.icann.org/contentMigrated/icann73-gac-communique" TargetMode="External"/><Relationship Id="rId24" Type="http://schemas.openxmlformats.org/officeDocument/2006/relationships/hyperlink" Target="https://community.icann.org/display/AST/2022+Meetings" TargetMode="External"/><Relationship Id="rId40" Type="http://schemas.openxmlformats.org/officeDocument/2006/relationships/hyperlink" Target="https://gac.icann.org/contentMigrated/icann72-gac-communique" TargetMode="External"/><Relationship Id="rId45" Type="http://schemas.openxmlformats.org/officeDocument/2006/relationships/hyperlink" Target="https://gac.icann.org/contentMigrated/icann71-gac-communique" TargetMode="External"/><Relationship Id="rId66" Type="http://schemas.openxmlformats.org/officeDocument/2006/relationships/hyperlink" Target="https://www.icann.org/en/system/files/files/resolutions-icann72-gac-advice-scorecard-16jan22-en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resources/pages/thick-whois-transition-policy-2017-02-01-en" TargetMode="External"/><Relationship Id="rId3" Type="http://schemas.openxmlformats.org/officeDocument/2006/relationships/hyperlink" Target="https://gac.icann.org/sessions/icann69-joint-gac-and-gnso-meeting-01-october-2020" TargetMode="External"/><Relationship Id="rId7" Type="http://schemas.openxmlformats.org/officeDocument/2006/relationships/hyperlink" Target="https://docs.google.com/document/d/1CYs9mLHsKcZevmZtFrQBDXbv_nkQ5PKe/edit" TargetMode="External"/><Relationship Id="rId2" Type="http://schemas.openxmlformats.org/officeDocument/2006/relationships/hyperlink" Target="https://mm.icann.org/pipermail/council/2022-May/025662.html" TargetMode="External"/><Relationship Id="rId1" Type="http://schemas.openxmlformats.org/officeDocument/2006/relationships/hyperlink" Target="https://gac.icann.org/sessions/icann-org-preicann74-oral-briefing-for-the-gac" TargetMode="External"/><Relationship Id="rId6" Type="http://schemas.openxmlformats.org/officeDocument/2006/relationships/hyperlink" Target="https://docs.google.com/document/d/13sP-2z7rusEYrDyntrgm-tcIavPMJndU/edit" TargetMode="External"/><Relationship Id="rId5" Type="http://schemas.openxmlformats.org/officeDocument/2006/relationships/hyperlink" Target="https://mm.icann.org/pipermail/council/2022-May/025699.html" TargetMode="External"/><Relationship Id="rId10" Type="http://schemas.openxmlformats.org/officeDocument/2006/relationships/hyperlink" Target="https://mm.icann.org/pipermail/irt.regdatapolicy/attachments/20210112/a0f02bc4/EPDPP1Rec27Wave1.5-11jan21-0001.pdf" TargetMode="External"/><Relationship Id="rId4" Type="http://schemas.openxmlformats.org/officeDocument/2006/relationships/hyperlink" Target="https://gac.icann.org/sessions/icann-org-preicann74-oral-briefing-for-the-gac" TargetMode="External"/><Relationship Id="rId9" Type="http://schemas.openxmlformats.org/officeDocument/2006/relationships/hyperlink" Target="https://www.icann.org/en/system/files/correspondence/fouquart-to-botterman-29jan21-en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3803</Words>
  <Characters>21682</Characters>
  <Application>Microsoft Office Word</Application>
  <DocSecurity>0</DocSecurity>
  <Lines>180</Lines>
  <Paragraphs>50</Paragraphs>
  <ScaleCrop>false</ScaleCrop>
  <Company/>
  <LinksUpToDate>false</LinksUpToDate>
  <CharactersWithSpaces>25435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Charvolen</cp:lastModifiedBy>
  <cp:revision>2</cp:revision>
  <dcterms:created xsi:type="dcterms:W3CDTF">2022-06-11T15:33:00Z</dcterms:created>
  <dcterms:modified xsi:type="dcterms:W3CDTF">2022-06-11T15:33:00Z</dcterms:modified>
</cp:coreProperties>
</file>