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35C48" w14:textId="77777777" w:rsidR="0092650B" w:rsidRPr="00DB61AD" w:rsidRDefault="005651BB">
      <w:pPr>
        <w:pStyle w:val="Title"/>
        <w:rPr>
          <w:sz w:val="26"/>
          <w:szCs w:val="26"/>
          <w:highlight w:val="none"/>
        </w:rPr>
      </w:pPr>
      <w:bookmarkStart w:id="0" w:name="_olbv764fj3er"/>
      <w:bookmarkEnd w:id="0"/>
      <w:r>
        <w:rPr>
          <w:highlight w:val="none"/>
        </w:rPr>
        <w:t>Séance de synthèse du GAC de l’ICANN68</w:t>
      </w:r>
      <w:r>
        <w:rPr>
          <w:sz w:val="26"/>
          <w:szCs w:val="26"/>
          <w:highlight w:val="none"/>
        </w:rPr>
        <w:br/>
        <w:t xml:space="preserve"> Séance 13 — Séance de synthèse du GAC</w:t>
      </w:r>
    </w:p>
    <w:p w14:paraId="79381FE0" w14:textId="77777777" w:rsidR="0092650B" w:rsidRDefault="0092650B"/>
    <w:p w14:paraId="792BDFF7" w14:textId="77777777" w:rsidR="0092650B" w:rsidRDefault="005651BB">
      <w:pPr>
        <w:spacing w:before="240" w:after="240"/>
        <w:rPr>
          <w:color w:val="1F4E79"/>
        </w:rPr>
      </w:pPr>
      <w:r>
        <w:rPr>
          <w:b/>
          <w:color w:val="1F4E79"/>
          <w:sz w:val="26"/>
          <w:szCs w:val="26"/>
        </w:rPr>
        <w:t>Table des matières</w:t>
      </w:r>
    </w:p>
    <w:sdt>
      <w:sdtPr>
        <w:id w:val="1385528327"/>
        <w:docPartObj>
          <w:docPartGallery w:val="Table of Contents"/>
          <w:docPartUnique/>
        </w:docPartObj>
      </w:sdtPr>
      <w:sdtEndPr/>
      <w:sdtContent>
        <w:p w14:paraId="33C5BB0F" w14:textId="450C1464" w:rsidR="00F66937" w:rsidRPr="00F66937" w:rsidRDefault="005651BB">
          <w:pPr>
            <w:pStyle w:val="TOC2"/>
            <w:tabs>
              <w:tab w:val="right" w:pos="9736"/>
            </w:tabs>
            <w:rPr>
              <w:noProof/>
              <w:color w:val="244061" w:themeColor="accent1" w:themeShade="80"/>
            </w:rPr>
          </w:pPr>
          <w:r w:rsidRPr="00F66937">
            <w:rPr>
              <w:color w:val="244061" w:themeColor="accent1" w:themeShade="80"/>
            </w:rPr>
            <w:fldChar w:fldCharType="begin"/>
          </w:r>
          <w:r w:rsidRPr="00F66937">
            <w:rPr>
              <w:color w:val="244061" w:themeColor="accent1" w:themeShade="80"/>
            </w:rPr>
            <w:instrText xml:space="preserve"> TOC \h \u \z </w:instrText>
          </w:r>
          <w:r w:rsidRPr="00F66937">
            <w:rPr>
              <w:color w:val="244061" w:themeColor="accent1" w:themeShade="80"/>
            </w:rPr>
            <w:fldChar w:fldCharType="separate"/>
          </w:r>
          <w:hyperlink w:anchor="_Toc42539855" w:history="1">
            <w:r w:rsidR="00F66937" w:rsidRPr="00F66937">
              <w:rPr>
                <w:rStyle w:val="Hyperlink"/>
                <w:noProof/>
                <w:color w:val="244061" w:themeColor="accent1" w:themeShade="80"/>
              </w:rPr>
              <w:t>Objectifs de la séance</w:t>
            </w:r>
            <w:r w:rsidR="00F66937" w:rsidRPr="00F66937">
              <w:rPr>
                <w:noProof/>
                <w:webHidden/>
                <w:color w:val="244061" w:themeColor="accent1" w:themeShade="80"/>
              </w:rPr>
              <w:tab/>
            </w:r>
            <w:r w:rsidR="00F66937" w:rsidRPr="00F66937">
              <w:rPr>
                <w:noProof/>
                <w:webHidden/>
                <w:color w:val="244061" w:themeColor="accent1" w:themeShade="80"/>
              </w:rPr>
              <w:fldChar w:fldCharType="begin"/>
            </w:r>
            <w:r w:rsidR="00F66937" w:rsidRPr="00F66937">
              <w:rPr>
                <w:noProof/>
                <w:webHidden/>
                <w:color w:val="244061" w:themeColor="accent1" w:themeShade="80"/>
              </w:rPr>
              <w:instrText xml:space="preserve"> PAGEREF _Toc42539855 \h </w:instrText>
            </w:r>
            <w:r w:rsidR="00F66937" w:rsidRPr="00F66937">
              <w:rPr>
                <w:noProof/>
                <w:webHidden/>
                <w:color w:val="244061" w:themeColor="accent1" w:themeShade="80"/>
              </w:rPr>
            </w:r>
            <w:r w:rsidR="00F66937" w:rsidRPr="00F66937">
              <w:rPr>
                <w:noProof/>
                <w:webHidden/>
                <w:color w:val="244061" w:themeColor="accent1" w:themeShade="80"/>
              </w:rPr>
              <w:fldChar w:fldCharType="separate"/>
            </w:r>
            <w:r w:rsidR="00F66937" w:rsidRPr="00F66937">
              <w:rPr>
                <w:noProof/>
                <w:webHidden/>
                <w:color w:val="244061" w:themeColor="accent1" w:themeShade="80"/>
              </w:rPr>
              <w:t>1</w:t>
            </w:r>
            <w:r w:rsidR="00F66937" w:rsidRPr="00F66937">
              <w:rPr>
                <w:noProof/>
                <w:webHidden/>
                <w:color w:val="244061" w:themeColor="accent1" w:themeShade="80"/>
              </w:rPr>
              <w:fldChar w:fldCharType="end"/>
            </w:r>
          </w:hyperlink>
        </w:p>
        <w:p w14:paraId="43A60C1C" w14:textId="56CDB87C" w:rsidR="00F66937" w:rsidRPr="00F66937" w:rsidRDefault="00AA10BD">
          <w:pPr>
            <w:pStyle w:val="TOC2"/>
            <w:tabs>
              <w:tab w:val="right" w:pos="9736"/>
            </w:tabs>
            <w:rPr>
              <w:noProof/>
              <w:color w:val="244061" w:themeColor="accent1" w:themeShade="80"/>
            </w:rPr>
          </w:pPr>
          <w:hyperlink w:anchor="_Toc42539856" w:history="1">
            <w:r w:rsidR="00F66937" w:rsidRPr="00F66937">
              <w:rPr>
                <w:rStyle w:val="Hyperlink"/>
                <w:noProof/>
                <w:color w:val="244061" w:themeColor="accent1" w:themeShade="80"/>
              </w:rPr>
              <w:t>Mise à jour du groupe de travail du GAC</w:t>
            </w:r>
            <w:r w:rsidR="00F66937" w:rsidRPr="00F66937">
              <w:rPr>
                <w:noProof/>
                <w:webHidden/>
                <w:color w:val="244061" w:themeColor="accent1" w:themeShade="80"/>
              </w:rPr>
              <w:tab/>
            </w:r>
            <w:r w:rsidR="00F66937" w:rsidRPr="00F66937">
              <w:rPr>
                <w:noProof/>
                <w:webHidden/>
                <w:color w:val="244061" w:themeColor="accent1" w:themeShade="80"/>
              </w:rPr>
              <w:fldChar w:fldCharType="begin"/>
            </w:r>
            <w:r w:rsidR="00F66937" w:rsidRPr="00F66937">
              <w:rPr>
                <w:noProof/>
                <w:webHidden/>
                <w:color w:val="244061" w:themeColor="accent1" w:themeShade="80"/>
              </w:rPr>
              <w:instrText xml:space="preserve"> PAGEREF _Toc42539856 \h </w:instrText>
            </w:r>
            <w:r w:rsidR="00F66937" w:rsidRPr="00F66937">
              <w:rPr>
                <w:noProof/>
                <w:webHidden/>
                <w:color w:val="244061" w:themeColor="accent1" w:themeShade="80"/>
              </w:rPr>
            </w:r>
            <w:r w:rsidR="00F66937" w:rsidRPr="00F66937">
              <w:rPr>
                <w:noProof/>
                <w:webHidden/>
                <w:color w:val="244061" w:themeColor="accent1" w:themeShade="80"/>
              </w:rPr>
              <w:fldChar w:fldCharType="separate"/>
            </w:r>
            <w:r w:rsidR="00F66937" w:rsidRPr="00F66937">
              <w:rPr>
                <w:noProof/>
                <w:webHidden/>
                <w:color w:val="244061" w:themeColor="accent1" w:themeShade="80"/>
              </w:rPr>
              <w:t>1</w:t>
            </w:r>
            <w:r w:rsidR="00F66937" w:rsidRPr="00F66937">
              <w:rPr>
                <w:noProof/>
                <w:webHidden/>
                <w:color w:val="244061" w:themeColor="accent1" w:themeShade="80"/>
              </w:rPr>
              <w:fldChar w:fldCharType="end"/>
            </w:r>
          </w:hyperlink>
        </w:p>
        <w:p w14:paraId="542B69F5" w14:textId="70C29009" w:rsidR="00F66937" w:rsidRPr="00F66937" w:rsidRDefault="00AA10BD">
          <w:pPr>
            <w:pStyle w:val="TOC2"/>
            <w:tabs>
              <w:tab w:val="right" w:pos="9736"/>
            </w:tabs>
            <w:rPr>
              <w:noProof/>
              <w:color w:val="244061" w:themeColor="accent1" w:themeShade="80"/>
            </w:rPr>
          </w:pPr>
          <w:hyperlink w:anchor="_Toc42539857" w:history="1">
            <w:r w:rsidR="00F66937" w:rsidRPr="00F66937">
              <w:rPr>
                <w:rStyle w:val="Hyperlink"/>
                <w:noProof/>
                <w:color w:val="244061" w:themeColor="accent1" w:themeShade="80"/>
              </w:rPr>
              <w:t>Élections du GAC</w:t>
            </w:r>
            <w:r w:rsidR="00F66937" w:rsidRPr="00F66937">
              <w:rPr>
                <w:noProof/>
                <w:webHidden/>
                <w:color w:val="244061" w:themeColor="accent1" w:themeShade="80"/>
              </w:rPr>
              <w:tab/>
            </w:r>
            <w:r w:rsidR="00F66937" w:rsidRPr="00F66937">
              <w:rPr>
                <w:noProof/>
                <w:webHidden/>
                <w:color w:val="244061" w:themeColor="accent1" w:themeShade="80"/>
              </w:rPr>
              <w:fldChar w:fldCharType="begin"/>
            </w:r>
            <w:r w:rsidR="00F66937" w:rsidRPr="00F66937">
              <w:rPr>
                <w:noProof/>
                <w:webHidden/>
                <w:color w:val="244061" w:themeColor="accent1" w:themeShade="80"/>
              </w:rPr>
              <w:instrText xml:space="preserve"> PAGEREF _Toc42539857 \h </w:instrText>
            </w:r>
            <w:r w:rsidR="00F66937" w:rsidRPr="00F66937">
              <w:rPr>
                <w:noProof/>
                <w:webHidden/>
                <w:color w:val="244061" w:themeColor="accent1" w:themeShade="80"/>
              </w:rPr>
            </w:r>
            <w:r w:rsidR="00F66937" w:rsidRPr="00F66937">
              <w:rPr>
                <w:noProof/>
                <w:webHidden/>
                <w:color w:val="244061" w:themeColor="accent1" w:themeShade="80"/>
              </w:rPr>
              <w:fldChar w:fldCharType="separate"/>
            </w:r>
            <w:r w:rsidR="00F66937" w:rsidRPr="00F66937">
              <w:rPr>
                <w:noProof/>
                <w:webHidden/>
                <w:color w:val="244061" w:themeColor="accent1" w:themeShade="80"/>
              </w:rPr>
              <w:t>2</w:t>
            </w:r>
            <w:r w:rsidR="00F66937" w:rsidRPr="00F66937">
              <w:rPr>
                <w:noProof/>
                <w:webHidden/>
                <w:color w:val="244061" w:themeColor="accent1" w:themeShade="80"/>
              </w:rPr>
              <w:fldChar w:fldCharType="end"/>
            </w:r>
          </w:hyperlink>
        </w:p>
        <w:p w14:paraId="208CC967" w14:textId="78AC87FF" w:rsidR="00F66937" w:rsidRPr="00F66937" w:rsidRDefault="00AA10BD" w:rsidP="00F66937">
          <w:pPr>
            <w:pStyle w:val="TOC4"/>
            <w:rPr>
              <w:color w:val="244061" w:themeColor="accent1" w:themeShade="80"/>
            </w:rPr>
          </w:pPr>
          <w:hyperlink w:anchor="_Toc42539858" w:history="1">
            <w:r w:rsidR="00F66937" w:rsidRPr="00F66937">
              <w:rPr>
                <w:rStyle w:val="Hyperlink"/>
                <w:color w:val="244061" w:themeColor="accent1" w:themeShade="80"/>
              </w:rPr>
              <w:t>Sujet éventuel durant la période de suivi</w:t>
            </w:r>
            <w:r w:rsidR="00F66937" w:rsidRPr="00F66937">
              <w:rPr>
                <w:webHidden/>
                <w:color w:val="244061" w:themeColor="accent1" w:themeShade="80"/>
              </w:rPr>
              <w:tab/>
            </w:r>
            <w:r w:rsidR="00F66937" w:rsidRPr="00F66937">
              <w:rPr>
                <w:webHidden/>
                <w:color w:val="244061" w:themeColor="accent1" w:themeShade="80"/>
              </w:rPr>
              <w:fldChar w:fldCharType="begin"/>
            </w:r>
            <w:r w:rsidR="00F66937" w:rsidRPr="00F66937">
              <w:rPr>
                <w:webHidden/>
                <w:color w:val="244061" w:themeColor="accent1" w:themeShade="80"/>
              </w:rPr>
              <w:instrText xml:space="preserve"> PAGEREF _Toc42539858 \h </w:instrText>
            </w:r>
            <w:r w:rsidR="00F66937" w:rsidRPr="00F66937">
              <w:rPr>
                <w:webHidden/>
                <w:color w:val="244061" w:themeColor="accent1" w:themeShade="80"/>
              </w:rPr>
            </w:r>
            <w:r w:rsidR="00F66937" w:rsidRPr="00F66937">
              <w:rPr>
                <w:webHidden/>
                <w:color w:val="244061" w:themeColor="accent1" w:themeShade="80"/>
              </w:rPr>
              <w:fldChar w:fldCharType="separate"/>
            </w:r>
            <w:r w:rsidR="00F66937" w:rsidRPr="00F66937">
              <w:rPr>
                <w:webHidden/>
                <w:color w:val="244061" w:themeColor="accent1" w:themeShade="80"/>
              </w:rPr>
              <w:t>2</w:t>
            </w:r>
            <w:r w:rsidR="00F66937" w:rsidRPr="00F66937">
              <w:rPr>
                <w:webHidden/>
                <w:color w:val="244061" w:themeColor="accent1" w:themeShade="80"/>
              </w:rPr>
              <w:fldChar w:fldCharType="end"/>
            </w:r>
          </w:hyperlink>
        </w:p>
        <w:p w14:paraId="54172F63" w14:textId="70EBBB86" w:rsidR="00F66937" w:rsidRPr="00F66937" w:rsidRDefault="00AA10BD">
          <w:pPr>
            <w:pStyle w:val="TOC2"/>
            <w:tabs>
              <w:tab w:val="right" w:pos="9736"/>
            </w:tabs>
            <w:rPr>
              <w:noProof/>
              <w:color w:val="244061" w:themeColor="accent1" w:themeShade="80"/>
            </w:rPr>
          </w:pPr>
          <w:hyperlink w:anchor="_Toc42539859" w:history="1">
            <w:r w:rsidR="00F66937" w:rsidRPr="00F66937">
              <w:rPr>
                <w:rStyle w:val="Hyperlink"/>
                <w:noProof/>
                <w:color w:val="244061" w:themeColor="accent1" w:themeShade="80"/>
              </w:rPr>
              <w:t>Informations complémentaires</w:t>
            </w:r>
            <w:r w:rsidR="00F66937" w:rsidRPr="00F66937">
              <w:rPr>
                <w:noProof/>
                <w:webHidden/>
                <w:color w:val="244061" w:themeColor="accent1" w:themeShade="80"/>
              </w:rPr>
              <w:tab/>
            </w:r>
            <w:r w:rsidR="00F66937" w:rsidRPr="00F66937">
              <w:rPr>
                <w:noProof/>
                <w:webHidden/>
                <w:color w:val="244061" w:themeColor="accent1" w:themeShade="80"/>
              </w:rPr>
              <w:fldChar w:fldCharType="begin"/>
            </w:r>
            <w:r w:rsidR="00F66937" w:rsidRPr="00F66937">
              <w:rPr>
                <w:noProof/>
                <w:webHidden/>
                <w:color w:val="244061" w:themeColor="accent1" w:themeShade="80"/>
              </w:rPr>
              <w:instrText xml:space="preserve"> PAGEREF _Toc42539859 \h </w:instrText>
            </w:r>
            <w:r w:rsidR="00F66937" w:rsidRPr="00F66937">
              <w:rPr>
                <w:noProof/>
                <w:webHidden/>
                <w:color w:val="244061" w:themeColor="accent1" w:themeShade="80"/>
              </w:rPr>
            </w:r>
            <w:r w:rsidR="00F66937" w:rsidRPr="00F66937">
              <w:rPr>
                <w:noProof/>
                <w:webHidden/>
                <w:color w:val="244061" w:themeColor="accent1" w:themeShade="80"/>
              </w:rPr>
              <w:fldChar w:fldCharType="separate"/>
            </w:r>
            <w:r w:rsidR="00F66937" w:rsidRPr="00F66937">
              <w:rPr>
                <w:noProof/>
                <w:webHidden/>
                <w:color w:val="244061" w:themeColor="accent1" w:themeShade="80"/>
              </w:rPr>
              <w:t>2</w:t>
            </w:r>
            <w:r w:rsidR="00F66937" w:rsidRPr="00F66937">
              <w:rPr>
                <w:noProof/>
                <w:webHidden/>
                <w:color w:val="244061" w:themeColor="accent1" w:themeShade="80"/>
              </w:rPr>
              <w:fldChar w:fldCharType="end"/>
            </w:r>
          </w:hyperlink>
        </w:p>
        <w:p w14:paraId="1881C0EF" w14:textId="1BF9C064" w:rsidR="00F66937" w:rsidRPr="00F66937" w:rsidRDefault="00AA10BD">
          <w:pPr>
            <w:pStyle w:val="TOC2"/>
            <w:tabs>
              <w:tab w:val="right" w:pos="9736"/>
            </w:tabs>
            <w:rPr>
              <w:noProof/>
              <w:color w:val="244061" w:themeColor="accent1" w:themeShade="80"/>
            </w:rPr>
          </w:pPr>
          <w:hyperlink w:anchor="_Toc42539860" w:history="1">
            <w:r w:rsidR="00F66937" w:rsidRPr="00F66937">
              <w:rPr>
                <w:rStyle w:val="Hyperlink"/>
                <w:noProof/>
                <w:color w:val="244061" w:themeColor="accent1" w:themeShade="80"/>
              </w:rPr>
              <w:t>Documents clés de référence</w:t>
            </w:r>
            <w:r w:rsidR="00F66937" w:rsidRPr="00F66937">
              <w:rPr>
                <w:noProof/>
                <w:webHidden/>
                <w:color w:val="244061" w:themeColor="accent1" w:themeShade="80"/>
              </w:rPr>
              <w:tab/>
            </w:r>
            <w:r w:rsidR="00F66937" w:rsidRPr="00F66937">
              <w:rPr>
                <w:noProof/>
                <w:webHidden/>
                <w:color w:val="244061" w:themeColor="accent1" w:themeShade="80"/>
              </w:rPr>
              <w:fldChar w:fldCharType="begin"/>
            </w:r>
            <w:r w:rsidR="00F66937" w:rsidRPr="00F66937">
              <w:rPr>
                <w:noProof/>
                <w:webHidden/>
                <w:color w:val="244061" w:themeColor="accent1" w:themeShade="80"/>
              </w:rPr>
              <w:instrText xml:space="preserve"> PAGEREF _Toc42539860 \h </w:instrText>
            </w:r>
            <w:r w:rsidR="00F66937" w:rsidRPr="00F66937">
              <w:rPr>
                <w:noProof/>
                <w:webHidden/>
                <w:color w:val="244061" w:themeColor="accent1" w:themeShade="80"/>
              </w:rPr>
            </w:r>
            <w:r w:rsidR="00F66937" w:rsidRPr="00F66937">
              <w:rPr>
                <w:noProof/>
                <w:webHidden/>
                <w:color w:val="244061" w:themeColor="accent1" w:themeShade="80"/>
              </w:rPr>
              <w:fldChar w:fldCharType="separate"/>
            </w:r>
            <w:r w:rsidR="00F66937" w:rsidRPr="00F66937">
              <w:rPr>
                <w:noProof/>
                <w:webHidden/>
                <w:color w:val="244061" w:themeColor="accent1" w:themeShade="80"/>
              </w:rPr>
              <w:t>3</w:t>
            </w:r>
            <w:r w:rsidR="00F66937" w:rsidRPr="00F66937">
              <w:rPr>
                <w:noProof/>
                <w:webHidden/>
                <w:color w:val="244061" w:themeColor="accent1" w:themeShade="80"/>
              </w:rPr>
              <w:fldChar w:fldCharType="end"/>
            </w:r>
          </w:hyperlink>
        </w:p>
        <w:p w14:paraId="62131C52" w14:textId="44D34DBE" w:rsidR="0092650B" w:rsidRDefault="005651BB">
          <w:pPr>
            <w:tabs>
              <w:tab w:val="right" w:pos="9750"/>
            </w:tabs>
            <w:rPr>
              <w:color w:val="1F4E79"/>
            </w:rPr>
          </w:pPr>
          <w:r w:rsidRPr="00F66937">
            <w:rPr>
              <w:color w:val="244061" w:themeColor="accent1" w:themeShade="80"/>
            </w:rPr>
            <w:fldChar w:fldCharType="end"/>
          </w:r>
        </w:p>
      </w:sdtContent>
    </w:sdt>
    <w:p w14:paraId="123262D0" w14:textId="77777777" w:rsidR="0092650B" w:rsidRDefault="0092650B">
      <w:pPr>
        <w:pStyle w:val="Heading2"/>
        <w:spacing w:before="240" w:after="240"/>
        <w:rPr>
          <w:b w:val="0"/>
        </w:rPr>
      </w:pPr>
      <w:bookmarkStart w:id="1" w:name="_wlqffskehtni"/>
      <w:bookmarkEnd w:id="1"/>
    </w:p>
    <w:p w14:paraId="3205840E" w14:textId="77777777" w:rsidR="0092650B" w:rsidRDefault="005651BB">
      <w:pPr>
        <w:pStyle w:val="Heading2"/>
        <w:spacing w:before="240" w:after="240"/>
        <w:rPr>
          <w:sz w:val="28"/>
          <w:szCs w:val="28"/>
        </w:rPr>
      </w:pPr>
      <w:bookmarkStart w:id="2" w:name="_Toc42539855"/>
      <w:r>
        <w:rPr>
          <w:sz w:val="28"/>
          <w:szCs w:val="28"/>
        </w:rPr>
        <w:t>Objectifs de la séance</w:t>
      </w:r>
      <w:bookmarkEnd w:id="2"/>
    </w:p>
    <w:p w14:paraId="18A7D34C" w14:textId="77777777" w:rsidR="0092650B" w:rsidRDefault="005651BB">
      <w:pPr>
        <w:spacing w:after="120"/>
      </w:pPr>
      <w:r>
        <w:t>La séance finale du GAC durant la semaine du forum virtuel de politiques de l’ICANN68 offrira l’occasion aux membres du GAC d’entendre certains groupes de travail du GAC parler de leurs récentes activités intersessions et de leurs plans d’avenir.  En outre, le soutien au GAC donnera aux participants un aperçu de la chronologie du prochain tour des élections aux postes de dirigeants du GAC qui seront finalisées durant l’ICANN69.</w:t>
      </w:r>
    </w:p>
    <w:p w14:paraId="7961C5A6" w14:textId="77777777" w:rsidR="0092650B" w:rsidRDefault="005651BB">
      <w:pPr>
        <w:pStyle w:val="Heading2"/>
        <w:spacing w:before="240" w:after="240"/>
        <w:rPr>
          <w:sz w:val="28"/>
          <w:szCs w:val="28"/>
        </w:rPr>
      </w:pPr>
      <w:bookmarkStart w:id="3" w:name="_Toc42539856"/>
      <w:r>
        <w:rPr>
          <w:sz w:val="28"/>
          <w:szCs w:val="28"/>
        </w:rPr>
        <w:t>Mise à jour du groupe de travail du GAC</w:t>
      </w:r>
      <w:bookmarkEnd w:id="3"/>
    </w:p>
    <w:p w14:paraId="36E8769A" w14:textId="77777777" w:rsidR="0092650B" w:rsidRDefault="005651BB">
      <w:pPr>
        <w:spacing w:before="0" w:line="276" w:lineRule="auto"/>
      </w:pPr>
      <w:r>
        <w:t xml:space="preserve">En raison du délai serré et des difficultés de fuseau horaire liées au format du forum des politiques de l’ICANN68, il y a peu de temps disponible pour des réunions individuelles par groupes de travail durant la semaine. Les dirigeants des divers groupes de travail du GAC ont eu la possibilité d’indiquer de proposer de brèves mises à jour au GAC sur les progrès de leurs travaux respectifs.  </w:t>
      </w:r>
    </w:p>
    <w:p w14:paraId="0F1AD12F" w14:textId="77777777" w:rsidR="0092650B" w:rsidRDefault="0092650B">
      <w:pPr>
        <w:spacing w:before="0" w:line="276" w:lineRule="auto"/>
      </w:pPr>
    </w:p>
    <w:p w14:paraId="12D7A662" w14:textId="77777777" w:rsidR="0092650B" w:rsidRDefault="005651BB">
      <w:pPr>
        <w:spacing w:before="0" w:line="276" w:lineRule="auto"/>
      </w:pPr>
      <w:r>
        <w:t>Au moment de la rédaction de ce document d’information, le groupe de travail des régions faiblement desservies (USRWG) et le groupe de travail sur l’acceptation universelle et des noms de domaine internationalisés (UA-IDN WG) ont signalé souhaiter à offrir de brèves mises à jour au GAC pendant cette séance (environ 10 minutes).</w:t>
      </w:r>
    </w:p>
    <w:p w14:paraId="7616BAD1" w14:textId="77777777" w:rsidR="0092650B" w:rsidRDefault="0092650B">
      <w:pPr>
        <w:spacing w:before="0" w:line="276" w:lineRule="auto"/>
      </w:pPr>
    </w:p>
    <w:p w14:paraId="6109CD20" w14:textId="77777777" w:rsidR="0092650B" w:rsidRDefault="005651BB">
      <w:pPr>
        <w:pStyle w:val="Heading2"/>
        <w:spacing w:before="0" w:line="276" w:lineRule="auto"/>
        <w:rPr>
          <w:sz w:val="28"/>
          <w:szCs w:val="28"/>
        </w:rPr>
      </w:pPr>
      <w:bookmarkStart w:id="4" w:name="_Toc42539857"/>
      <w:r>
        <w:rPr>
          <w:sz w:val="28"/>
          <w:szCs w:val="28"/>
        </w:rPr>
        <w:lastRenderedPageBreak/>
        <w:t>Élections du GAC</w:t>
      </w:r>
      <w:bookmarkEnd w:id="4"/>
    </w:p>
    <w:p w14:paraId="500F1F5D" w14:textId="77777777" w:rsidR="0092650B" w:rsidRDefault="005651BB">
      <w:pPr>
        <w:spacing w:before="200" w:line="276" w:lineRule="auto"/>
      </w:pPr>
      <w:r>
        <w:t>Au cours de cette année civile 2020, les élections pour le rôle de président du GAC (qui accomplit un terme de deux ans) et des vice-présidents du GAC, qui servent pendant un (1) an, seront organisées.</w:t>
      </w:r>
    </w:p>
    <w:p w14:paraId="6F330B59" w14:textId="77777777" w:rsidR="0092650B" w:rsidRDefault="005651BB">
      <w:pPr>
        <w:spacing w:before="200" w:line="276" w:lineRule="auto"/>
      </w:pPr>
      <w:r>
        <w:t xml:space="preserve">La Présidente actuelle du GAC a été élue pour la période se terminant en mars 2021 (après l’ICANN70). Les vice-présidents actuels ont été élus pour la période mars 2020 (ICANN67) à mars 2021 (ICANN70). </w:t>
      </w:r>
    </w:p>
    <w:p w14:paraId="14474A00" w14:textId="77777777" w:rsidR="0092650B" w:rsidRDefault="005651BB">
      <w:pPr>
        <w:spacing w:before="200" w:line="276" w:lineRule="auto"/>
      </w:pPr>
      <w:r>
        <w:t>Les candidatures pour les postes de président et de vice-président du GAC seront ouvertes à la fin du forum virtuel de politiques de l’ICANN68 et se concluront 45 jours avant le début prévu de la réunion de l’ICANN69 au cours de laquelle la confirmation des élus prendra place. Les nominations de candidats démarrent au cours de la réunion qui précède la réunion à laquelle la confirmation doit avoir lieu (principe opérationnel 33). Une élection prendra place si plus de deux (2) candidatures pour le poste de président du GAC et/ou plus de cinq (5) candidatures aux postes de vice-présidents sont reçues.</w:t>
      </w:r>
    </w:p>
    <w:p w14:paraId="0DEE8E70" w14:textId="77777777" w:rsidR="0092650B" w:rsidRDefault="0092650B">
      <w:pPr>
        <w:spacing w:before="0" w:line="276" w:lineRule="auto"/>
      </w:pPr>
    </w:p>
    <w:p w14:paraId="13DB0727" w14:textId="77777777" w:rsidR="0092650B" w:rsidRDefault="005651BB">
      <w:pPr>
        <w:spacing w:before="0" w:line="276" w:lineRule="auto"/>
      </w:pPr>
      <w:r>
        <w:t>Les résultats de chaque élection devront être annoncés officiellement à la fin de toute réunion à laquelle des élections auraient eu lieu et prendront effet à la fin de la réunion suivante du GAC (principe opérationnel 31).</w:t>
      </w:r>
    </w:p>
    <w:p w14:paraId="54AE19F1" w14:textId="77777777" w:rsidR="0092650B" w:rsidRDefault="0092650B">
      <w:pPr>
        <w:spacing w:before="0" w:line="276" w:lineRule="auto"/>
      </w:pPr>
    </w:p>
    <w:p w14:paraId="362603ED" w14:textId="77777777" w:rsidR="0092650B" w:rsidRDefault="005651BB">
      <w:pPr>
        <w:spacing w:before="0" w:line="276" w:lineRule="auto"/>
      </w:pPr>
      <w:r>
        <w:t>Durant cette séance de synthèse, l’équipe en charge du soutien au GAC présentera un aperçu du processus de nomination et d’élection aux membres du GAC.</w:t>
      </w:r>
    </w:p>
    <w:p w14:paraId="6B71589D" w14:textId="77777777" w:rsidR="0092650B" w:rsidRDefault="005651BB">
      <w:pPr>
        <w:pStyle w:val="Heading4"/>
        <w:spacing w:before="240" w:after="240" w:line="271" w:lineRule="auto"/>
        <w:rPr>
          <w:color w:val="1F4E79"/>
          <w:sz w:val="28"/>
          <w:szCs w:val="28"/>
        </w:rPr>
      </w:pPr>
      <w:bookmarkStart w:id="5" w:name="_Toc42539858"/>
      <w:r>
        <w:rPr>
          <w:b/>
          <w:color w:val="1F4E79"/>
          <w:sz w:val="28"/>
          <w:szCs w:val="28"/>
        </w:rPr>
        <w:t>Sujet éventuel durant la période de suivi</w:t>
      </w:r>
      <w:bookmarkEnd w:id="5"/>
    </w:p>
    <w:p w14:paraId="76615DBE" w14:textId="77777777" w:rsidR="0092650B" w:rsidRDefault="005651BB">
      <w:pPr>
        <w:spacing w:line="271" w:lineRule="auto"/>
      </w:pPr>
      <w:r>
        <w:t>En se fondant sur l’expérience du GAC lors du Forum virtuel de la communauté de l’ICANN67, une période de temps a été réservée durant cette séance pour permettre des discussions de suivi concernant l’ensemble des sujets opportuns ou les questions qui surviennent pendant les discussions dans le cadre de cette réunion.  Cette période supplémentaire, plus souple, peut également être utilisée par les membres du GAC pour discuter des activités concrètes de suivi qui peuvent être déclenchées pendant la semaine de réunion.</w:t>
      </w:r>
    </w:p>
    <w:p w14:paraId="105632A5" w14:textId="77777777" w:rsidR="0092650B" w:rsidRDefault="0092650B"/>
    <w:p w14:paraId="55E197B7" w14:textId="77777777" w:rsidR="0092650B" w:rsidRDefault="005651BB">
      <w:pPr>
        <w:pStyle w:val="Heading2"/>
        <w:rPr>
          <w:sz w:val="28"/>
          <w:szCs w:val="28"/>
        </w:rPr>
      </w:pPr>
      <w:bookmarkStart w:id="6" w:name="_Toc42539859"/>
      <w:r>
        <w:rPr>
          <w:sz w:val="28"/>
          <w:szCs w:val="28"/>
        </w:rPr>
        <w:t>Informations complémentaires</w:t>
      </w:r>
      <w:bookmarkEnd w:id="6"/>
    </w:p>
    <w:p w14:paraId="4A863506" w14:textId="77777777" w:rsidR="0092650B" w:rsidRDefault="0092650B">
      <w:pPr>
        <w:spacing w:before="0" w:line="276" w:lineRule="auto"/>
      </w:pPr>
    </w:p>
    <w:p w14:paraId="19AD1673" w14:textId="77777777" w:rsidR="0092650B" w:rsidRDefault="005651BB">
      <w:pPr>
        <w:spacing w:before="0" w:line="276" w:lineRule="auto"/>
      </w:pPr>
      <w:r>
        <w:t>Pages du groupe de travail du GAC</w:t>
      </w:r>
    </w:p>
    <w:p w14:paraId="20430981" w14:textId="77777777" w:rsidR="0092650B" w:rsidRDefault="005651BB">
      <w:pPr>
        <w:numPr>
          <w:ilvl w:val="0"/>
          <w:numId w:val="2"/>
        </w:numPr>
        <w:spacing w:before="0" w:line="276" w:lineRule="auto"/>
      </w:pPr>
      <w:r>
        <w:t xml:space="preserve">Groupe de travail du GAC sur les droits de l’homme et le droit international (HRIL WG) — </w:t>
      </w:r>
      <w:hyperlink r:id="rId7">
        <w:r>
          <w:rPr>
            <w:color w:val="1155CC"/>
            <w:u w:val="single"/>
          </w:rPr>
          <w:t>https://gac.icann.org/working-group/gac-working-groups-on-human-rights-and-international-law-hril-wg</w:t>
        </w:r>
      </w:hyperlink>
    </w:p>
    <w:p w14:paraId="46D05787" w14:textId="77777777" w:rsidR="0092650B" w:rsidRDefault="005651BB">
      <w:pPr>
        <w:numPr>
          <w:ilvl w:val="0"/>
          <w:numId w:val="2"/>
        </w:numPr>
        <w:spacing w:before="0" w:line="276" w:lineRule="auto"/>
      </w:pPr>
      <w:r>
        <w:t xml:space="preserve">Groupe thématique du GAC sur les séries ultérieures de nouveaux gTLD — </w:t>
      </w:r>
      <w:hyperlink r:id="rId8">
        <w:r>
          <w:rPr>
            <w:color w:val="1155CC"/>
            <w:u w:val="single"/>
          </w:rPr>
          <w:t>https://gac.icann.org/working-group/gac-focal-group-on-subsequent-rounds-of-new-gtlds</w:t>
        </w:r>
      </w:hyperlink>
    </w:p>
    <w:p w14:paraId="41BAC2B0" w14:textId="77777777" w:rsidR="0092650B" w:rsidRDefault="005651BB">
      <w:pPr>
        <w:numPr>
          <w:ilvl w:val="0"/>
          <w:numId w:val="2"/>
        </w:numPr>
        <w:spacing w:before="0" w:line="276" w:lineRule="auto"/>
      </w:pPr>
      <w:r>
        <w:lastRenderedPageBreak/>
        <w:t xml:space="preserve">Groupe de travail du GAC sur l’évolution des principes opérationnels — </w:t>
      </w:r>
      <w:hyperlink r:id="rId9">
        <w:r>
          <w:rPr>
            <w:color w:val="1155CC"/>
            <w:u w:val="single"/>
          </w:rPr>
          <w:t>https://gac.icann.org/working-group/gac-operating-principles-evolution-working-group-gope-wg</w:t>
        </w:r>
      </w:hyperlink>
      <w:r>
        <w:t xml:space="preserve"> </w:t>
      </w:r>
    </w:p>
    <w:p w14:paraId="34CBC250" w14:textId="77777777" w:rsidR="0092650B" w:rsidRDefault="005651BB">
      <w:pPr>
        <w:numPr>
          <w:ilvl w:val="0"/>
          <w:numId w:val="2"/>
        </w:numPr>
        <w:spacing w:before="0" w:line="276" w:lineRule="auto"/>
      </w:pPr>
      <w:r>
        <w:t xml:space="preserve">Groupe de travail du GAC sur les régions faiblement desservies — </w:t>
      </w:r>
      <w:hyperlink r:id="rId10">
        <w:r>
          <w:rPr>
            <w:color w:val="1155CC"/>
            <w:u w:val="single"/>
          </w:rPr>
          <w:t>https://gac.icann.org/working-group/gac-working-groups-on-under-served-regions-usr-wg</w:t>
        </w:r>
      </w:hyperlink>
    </w:p>
    <w:p w14:paraId="07EA51E1" w14:textId="77777777" w:rsidR="0092650B" w:rsidRDefault="005651BB">
      <w:pPr>
        <w:numPr>
          <w:ilvl w:val="0"/>
          <w:numId w:val="2"/>
        </w:numPr>
        <w:spacing w:before="0" w:line="276" w:lineRule="auto"/>
      </w:pPr>
      <w:r>
        <w:t xml:space="preserve">Groupe de travail du GAC chargé de la protection des noms géographiques lors des futures introductions de gTLD — </w:t>
      </w:r>
      <w:hyperlink r:id="rId11">
        <w:r>
          <w:rPr>
            <w:color w:val="1155CC"/>
            <w:u w:val="single"/>
          </w:rPr>
          <w:t>https://gac.icann.org/working-group/gac-working-group-to-examine-the-protection-of-geographic-names-in-any-future-expansion-of-gtlds</w:t>
        </w:r>
      </w:hyperlink>
    </w:p>
    <w:p w14:paraId="4353DDE9" w14:textId="77777777" w:rsidR="0092650B" w:rsidRDefault="005651BB">
      <w:pPr>
        <w:numPr>
          <w:ilvl w:val="0"/>
          <w:numId w:val="2"/>
        </w:numPr>
        <w:spacing w:before="0" w:line="276" w:lineRule="auto"/>
      </w:pPr>
      <w:r>
        <w:t xml:space="preserve">Groupe de travail du GAC chargé de la participation du GAC au NomCom — </w:t>
      </w:r>
      <w:hyperlink r:id="rId12">
        <w:r>
          <w:rPr>
            <w:color w:val="1155CC"/>
            <w:u w:val="single"/>
          </w:rPr>
          <w:t>https://gac.icann.org/working-group/gac-working-group-to-examine-the-gac-s-participation-in-nomcom</w:t>
        </w:r>
      </w:hyperlink>
    </w:p>
    <w:p w14:paraId="0374FDD4" w14:textId="77777777" w:rsidR="0092650B" w:rsidRDefault="005651BB">
      <w:pPr>
        <w:numPr>
          <w:ilvl w:val="0"/>
          <w:numId w:val="2"/>
        </w:numPr>
        <w:spacing w:before="0" w:line="276" w:lineRule="auto"/>
      </w:pPr>
      <w:r>
        <w:t xml:space="preserve">Groupe de travail du GAC sur la sécurité publique — </w:t>
      </w:r>
      <w:hyperlink r:id="rId13">
        <w:r>
          <w:rPr>
            <w:color w:val="1155CC"/>
            <w:u w:val="single"/>
          </w:rPr>
          <w:t>https://gac.icann.org/working-group/gac-public-safety-working-group-pswg</w:t>
        </w:r>
      </w:hyperlink>
    </w:p>
    <w:p w14:paraId="3A3A5AC0" w14:textId="77777777" w:rsidR="0092650B" w:rsidRDefault="005651BB">
      <w:pPr>
        <w:numPr>
          <w:ilvl w:val="0"/>
          <w:numId w:val="2"/>
        </w:numPr>
        <w:spacing w:before="0" w:line="276" w:lineRule="auto"/>
      </w:pPr>
      <w:r>
        <w:t xml:space="preserve">Groupe de travail du GAC sur l’acceptation universelle et les noms de domaine internationalisés — </w:t>
      </w:r>
      <w:hyperlink r:id="rId14">
        <w:r>
          <w:rPr>
            <w:color w:val="1155CC"/>
            <w:u w:val="single"/>
          </w:rPr>
          <w:t>https://gac.icann.org/working-group/gac-universal-acceptance-and-internationalized-domain-names-working-group-ua-idn-wg</w:t>
        </w:r>
      </w:hyperlink>
    </w:p>
    <w:p w14:paraId="6BB83C15" w14:textId="77777777" w:rsidR="0092650B" w:rsidRDefault="0092650B">
      <w:pPr>
        <w:spacing w:before="0" w:line="276" w:lineRule="auto"/>
      </w:pPr>
    </w:p>
    <w:p w14:paraId="15E5E4A6" w14:textId="77777777" w:rsidR="0092650B" w:rsidRDefault="005651BB">
      <w:pPr>
        <w:pStyle w:val="Heading2"/>
        <w:spacing w:before="240" w:after="240"/>
        <w:rPr>
          <w:sz w:val="28"/>
          <w:szCs w:val="28"/>
        </w:rPr>
      </w:pPr>
      <w:bookmarkStart w:id="7" w:name="_Toc42539860"/>
      <w:r>
        <w:rPr>
          <w:sz w:val="28"/>
          <w:szCs w:val="28"/>
        </w:rPr>
        <w:t>Documents clés de référence</w:t>
      </w:r>
      <w:bookmarkEnd w:id="7"/>
    </w:p>
    <w:p w14:paraId="2F8160E3" w14:textId="77777777" w:rsidR="0092650B" w:rsidRDefault="005651BB">
      <w:pPr>
        <w:numPr>
          <w:ilvl w:val="0"/>
          <w:numId w:val="1"/>
        </w:numPr>
        <w:spacing w:before="0" w:line="276" w:lineRule="auto"/>
      </w:pPr>
      <w:r>
        <w:t xml:space="preserve">Élections du GAC — voir les </w:t>
      </w:r>
      <w:hyperlink r:id="rId15">
        <w:r>
          <w:rPr>
            <w:color w:val="1155CC"/>
            <w:u w:val="single"/>
          </w:rPr>
          <w:t>principes opérationnels</w:t>
        </w:r>
      </w:hyperlink>
      <w:r>
        <w:t xml:space="preserve"> nos. 30 à 36.</w:t>
      </w:r>
    </w:p>
    <w:p w14:paraId="116EC13B" w14:textId="77777777" w:rsidR="0092650B" w:rsidRDefault="0092650B">
      <w:pPr>
        <w:spacing w:before="0" w:line="276" w:lineRule="auto"/>
      </w:pPr>
    </w:p>
    <w:p w14:paraId="60F7A2F6" w14:textId="77777777" w:rsidR="0092650B" w:rsidRDefault="005651BB">
      <w:pPr>
        <w:spacing w:before="240" w:after="240"/>
      </w:pPr>
      <w:r>
        <w:rPr>
          <w:b/>
          <w:color w:val="1F4E79"/>
          <w:sz w:val="26"/>
          <w:szCs w:val="26"/>
        </w:rPr>
        <w:t>Gestion des documents</w:t>
      </w: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7440"/>
      </w:tblGrid>
      <w:tr w:rsidR="0092650B" w14:paraId="2D8FDDC5" w14:textId="77777777">
        <w:tc>
          <w:tcPr>
            <w:tcW w:w="2280" w:type="dxa"/>
            <w:shd w:val="clear" w:color="auto" w:fill="auto"/>
            <w:tcMar>
              <w:top w:w="100" w:type="dxa"/>
              <w:left w:w="100" w:type="dxa"/>
              <w:bottom w:w="100" w:type="dxa"/>
              <w:right w:w="100" w:type="dxa"/>
            </w:tcMar>
          </w:tcPr>
          <w:p w14:paraId="1733AFDB" w14:textId="77777777" w:rsidR="0092650B" w:rsidRDefault="005651BB">
            <w:pPr>
              <w:widowControl w:val="0"/>
              <w:pBdr>
                <w:top w:val="nil"/>
                <w:left w:val="nil"/>
                <w:bottom w:val="nil"/>
                <w:right w:val="nil"/>
                <w:between w:val="nil"/>
              </w:pBdr>
              <w:spacing w:before="0" w:line="240" w:lineRule="auto"/>
              <w:rPr>
                <w:b/>
                <w:sz w:val="22"/>
                <w:szCs w:val="22"/>
              </w:rPr>
            </w:pPr>
            <w:r>
              <w:rPr>
                <w:b/>
                <w:sz w:val="22"/>
                <w:szCs w:val="22"/>
              </w:rPr>
              <w:t>Réunion</w:t>
            </w:r>
          </w:p>
        </w:tc>
        <w:tc>
          <w:tcPr>
            <w:tcW w:w="7440" w:type="dxa"/>
            <w:shd w:val="clear" w:color="auto" w:fill="auto"/>
            <w:tcMar>
              <w:top w:w="100" w:type="dxa"/>
              <w:left w:w="100" w:type="dxa"/>
              <w:bottom w:w="100" w:type="dxa"/>
              <w:right w:w="100" w:type="dxa"/>
            </w:tcMar>
          </w:tcPr>
          <w:p w14:paraId="34EE1B08" w14:textId="77777777" w:rsidR="0092650B" w:rsidRDefault="005651BB">
            <w:pPr>
              <w:widowControl w:val="0"/>
              <w:spacing w:before="0" w:line="240" w:lineRule="auto"/>
              <w:rPr>
                <w:sz w:val="22"/>
                <w:szCs w:val="22"/>
              </w:rPr>
            </w:pPr>
            <w:r>
              <w:rPr>
                <w:sz w:val="22"/>
                <w:szCs w:val="22"/>
              </w:rPr>
              <w:t>Forum virtuel de politiques de l’ICANN68, 22-25 juin 2020</w:t>
            </w:r>
          </w:p>
        </w:tc>
      </w:tr>
      <w:tr w:rsidR="0092650B" w14:paraId="092333D0" w14:textId="77777777">
        <w:tc>
          <w:tcPr>
            <w:tcW w:w="2280" w:type="dxa"/>
            <w:shd w:val="clear" w:color="auto" w:fill="auto"/>
            <w:tcMar>
              <w:top w:w="100" w:type="dxa"/>
              <w:left w:w="100" w:type="dxa"/>
              <w:bottom w:w="100" w:type="dxa"/>
              <w:right w:w="100" w:type="dxa"/>
            </w:tcMar>
          </w:tcPr>
          <w:p w14:paraId="033B9C92" w14:textId="77777777" w:rsidR="0092650B" w:rsidRDefault="005651BB">
            <w:pPr>
              <w:widowControl w:val="0"/>
              <w:pBdr>
                <w:top w:val="nil"/>
                <w:left w:val="nil"/>
                <w:bottom w:val="nil"/>
                <w:right w:val="nil"/>
                <w:between w:val="nil"/>
              </w:pBdr>
              <w:spacing w:before="0" w:line="240" w:lineRule="auto"/>
              <w:rPr>
                <w:b/>
                <w:sz w:val="22"/>
                <w:szCs w:val="22"/>
              </w:rPr>
            </w:pPr>
            <w:r>
              <w:rPr>
                <w:b/>
                <w:sz w:val="22"/>
                <w:szCs w:val="22"/>
              </w:rPr>
              <w:t>Titre</w:t>
            </w:r>
          </w:p>
        </w:tc>
        <w:tc>
          <w:tcPr>
            <w:tcW w:w="7440" w:type="dxa"/>
            <w:shd w:val="clear" w:color="auto" w:fill="auto"/>
            <w:tcMar>
              <w:top w:w="100" w:type="dxa"/>
              <w:left w:w="100" w:type="dxa"/>
              <w:bottom w:w="100" w:type="dxa"/>
              <w:right w:w="100" w:type="dxa"/>
            </w:tcMar>
          </w:tcPr>
          <w:p w14:paraId="20F243E4" w14:textId="77777777" w:rsidR="0092650B" w:rsidRDefault="005651BB">
            <w:pPr>
              <w:widowControl w:val="0"/>
              <w:pBdr>
                <w:top w:val="nil"/>
                <w:left w:val="nil"/>
                <w:bottom w:val="nil"/>
                <w:right w:val="nil"/>
                <w:between w:val="nil"/>
              </w:pBdr>
              <w:spacing w:before="0" w:line="240" w:lineRule="auto"/>
              <w:rPr>
                <w:sz w:val="22"/>
                <w:szCs w:val="22"/>
              </w:rPr>
            </w:pPr>
            <w:r>
              <w:rPr>
                <w:sz w:val="22"/>
                <w:szCs w:val="22"/>
              </w:rPr>
              <w:t>Réunion de synthèse du GAC</w:t>
            </w:r>
          </w:p>
        </w:tc>
      </w:tr>
      <w:tr w:rsidR="0092650B" w14:paraId="1946EE81" w14:textId="77777777">
        <w:tc>
          <w:tcPr>
            <w:tcW w:w="2280" w:type="dxa"/>
            <w:shd w:val="clear" w:color="auto" w:fill="auto"/>
            <w:tcMar>
              <w:top w:w="100" w:type="dxa"/>
              <w:left w:w="100" w:type="dxa"/>
              <w:bottom w:w="100" w:type="dxa"/>
              <w:right w:w="100" w:type="dxa"/>
            </w:tcMar>
          </w:tcPr>
          <w:p w14:paraId="26875C99" w14:textId="77777777" w:rsidR="0092650B" w:rsidRDefault="005651BB">
            <w:pPr>
              <w:widowControl w:val="0"/>
              <w:pBdr>
                <w:top w:val="nil"/>
                <w:left w:val="nil"/>
                <w:bottom w:val="nil"/>
                <w:right w:val="nil"/>
                <w:between w:val="nil"/>
              </w:pBdr>
              <w:spacing w:before="0" w:line="240" w:lineRule="auto"/>
              <w:rPr>
                <w:b/>
                <w:sz w:val="22"/>
                <w:szCs w:val="22"/>
              </w:rPr>
            </w:pPr>
            <w:r>
              <w:rPr>
                <w:b/>
                <w:sz w:val="22"/>
                <w:szCs w:val="22"/>
              </w:rPr>
              <w:t>Distribution</w:t>
            </w:r>
          </w:p>
        </w:tc>
        <w:tc>
          <w:tcPr>
            <w:tcW w:w="7440" w:type="dxa"/>
            <w:shd w:val="clear" w:color="auto" w:fill="auto"/>
            <w:tcMar>
              <w:top w:w="100" w:type="dxa"/>
              <w:left w:w="100" w:type="dxa"/>
              <w:bottom w:w="100" w:type="dxa"/>
              <w:right w:w="100" w:type="dxa"/>
            </w:tcMar>
          </w:tcPr>
          <w:p w14:paraId="31F82F9A" w14:textId="77777777" w:rsidR="0092650B" w:rsidRDefault="005651BB">
            <w:pPr>
              <w:widowControl w:val="0"/>
              <w:spacing w:before="0" w:line="240" w:lineRule="auto"/>
              <w:rPr>
                <w:sz w:val="22"/>
                <w:szCs w:val="22"/>
              </w:rPr>
            </w:pPr>
            <w:r>
              <w:rPr>
                <w:sz w:val="22"/>
                <w:szCs w:val="22"/>
              </w:rPr>
              <w:t>Membres du GAC (avant la réunion) et public (après la réunion)</w:t>
            </w:r>
          </w:p>
        </w:tc>
      </w:tr>
      <w:tr w:rsidR="0092650B" w14:paraId="3A1BD60D" w14:textId="77777777">
        <w:tc>
          <w:tcPr>
            <w:tcW w:w="2280" w:type="dxa"/>
            <w:shd w:val="clear" w:color="auto" w:fill="auto"/>
            <w:tcMar>
              <w:top w:w="100" w:type="dxa"/>
              <w:left w:w="100" w:type="dxa"/>
              <w:bottom w:w="100" w:type="dxa"/>
              <w:right w:w="100" w:type="dxa"/>
            </w:tcMar>
          </w:tcPr>
          <w:p w14:paraId="5138903F" w14:textId="77777777" w:rsidR="0092650B" w:rsidRDefault="005651BB">
            <w:pPr>
              <w:widowControl w:val="0"/>
              <w:pBdr>
                <w:top w:val="nil"/>
                <w:left w:val="nil"/>
                <w:bottom w:val="nil"/>
                <w:right w:val="nil"/>
                <w:between w:val="nil"/>
              </w:pBdr>
              <w:spacing w:before="0" w:line="240" w:lineRule="auto"/>
              <w:rPr>
                <w:b/>
                <w:sz w:val="22"/>
                <w:szCs w:val="22"/>
              </w:rPr>
            </w:pPr>
            <w:r>
              <w:rPr>
                <w:b/>
                <w:sz w:val="22"/>
                <w:szCs w:val="22"/>
              </w:rPr>
              <w:t>Date de distribution</w:t>
            </w:r>
          </w:p>
        </w:tc>
        <w:tc>
          <w:tcPr>
            <w:tcW w:w="7440" w:type="dxa"/>
            <w:shd w:val="clear" w:color="auto" w:fill="auto"/>
            <w:tcMar>
              <w:top w:w="100" w:type="dxa"/>
              <w:left w:w="100" w:type="dxa"/>
              <w:bottom w:w="100" w:type="dxa"/>
              <w:right w:w="100" w:type="dxa"/>
            </w:tcMar>
          </w:tcPr>
          <w:p w14:paraId="0202A25F" w14:textId="77777777" w:rsidR="0092650B" w:rsidRDefault="005651BB">
            <w:pPr>
              <w:widowControl w:val="0"/>
              <w:spacing w:before="0" w:line="240" w:lineRule="auto"/>
              <w:rPr>
                <w:sz w:val="22"/>
                <w:szCs w:val="22"/>
              </w:rPr>
            </w:pPr>
            <w:r>
              <w:rPr>
                <w:sz w:val="22"/>
                <w:szCs w:val="22"/>
              </w:rPr>
              <w:t>Version 1 : 1er juin 2020</w:t>
            </w:r>
          </w:p>
        </w:tc>
      </w:tr>
    </w:tbl>
    <w:p w14:paraId="58EF8BC3" w14:textId="77777777" w:rsidR="0092650B" w:rsidRDefault="0092650B"/>
    <w:sectPr w:rsidR="0092650B">
      <w:headerReference w:type="default" r:id="rId16"/>
      <w:footerReference w:type="default" r:id="rId17"/>
      <w:headerReference w:type="first" r:id="rId18"/>
      <w:pgSz w:w="11906" w:h="16838"/>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D60A9" w14:textId="77777777" w:rsidR="00AA10BD" w:rsidRDefault="00AA10BD">
      <w:pPr>
        <w:spacing w:before="0" w:line="240" w:lineRule="auto"/>
      </w:pPr>
      <w:r>
        <w:separator/>
      </w:r>
    </w:p>
  </w:endnote>
  <w:endnote w:type="continuationSeparator" w:id="0">
    <w:p w14:paraId="6154AFF8" w14:textId="77777777" w:rsidR="00AA10BD" w:rsidRDefault="00AA10B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65C20" w14:textId="610E5429" w:rsidR="0092650B" w:rsidRDefault="005651BB">
    <w:pPr>
      <w:pBdr>
        <w:top w:val="single" w:sz="8" w:space="1" w:color="1F4E79"/>
      </w:pBdr>
      <w:tabs>
        <w:tab w:val="right" w:pos="9720"/>
      </w:tabs>
      <w:rPr>
        <w:color w:val="1F4E79"/>
        <w:sz w:val="20"/>
        <w:szCs w:val="20"/>
      </w:rPr>
    </w:pPr>
    <w:r>
      <w:rPr>
        <w:color w:val="1F4E79"/>
        <w:sz w:val="20"/>
        <w:szCs w:val="20"/>
      </w:rPr>
      <w:t>ICANN65 —Point 13 de l’ordre du jour du GAC — Séance de synthèse du GAC</w:t>
    </w:r>
    <w:r>
      <w:rPr>
        <w:color w:val="1F4E79"/>
        <w:sz w:val="20"/>
        <w:szCs w:val="20"/>
      </w:rPr>
      <w:tab/>
      <w:t xml:space="preserve"> Page </w:t>
    </w:r>
    <w:r>
      <w:rPr>
        <w:color w:val="1F4E79"/>
        <w:sz w:val="20"/>
        <w:szCs w:val="20"/>
      </w:rPr>
      <w:fldChar w:fldCharType="begin"/>
    </w:r>
    <w:r>
      <w:rPr>
        <w:color w:val="1F4E79"/>
        <w:sz w:val="20"/>
        <w:szCs w:val="20"/>
      </w:rPr>
      <w:instrText>PAGE</w:instrText>
    </w:r>
    <w:r>
      <w:rPr>
        <w:color w:val="1F4E79"/>
        <w:sz w:val="20"/>
        <w:szCs w:val="20"/>
      </w:rPr>
      <w:fldChar w:fldCharType="separate"/>
    </w:r>
    <w:r w:rsidR="00DB61AD">
      <w:rPr>
        <w:color w:val="1F4E79"/>
        <w:sz w:val="20"/>
        <w:szCs w:val="20"/>
      </w:rPr>
      <w:t>2</w:t>
    </w:r>
    <w:r>
      <w:rPr>
        <w:color w:val="1F4E79"/>
        <w:sz w:val="20"/>
        <w:szCs w:val="20"/>
      </w:rPr>
      <w:fldChar w:fldCharType="end"/>
    </w:r>
    <w:r>
      <w:t xml:space="preserve"> </w:t>
    </w:r>
    <w:r w:rsidRPr="00C76E6A">
      <w:rPr>
        <w:color w:val="1F4E79"/>
        <w:sz w:val="20"/>
        <w:szCs w:val="20"/>
      </w:rPr>
      <w:t>sur</w:t>
    </w:r>
    <w:r>
      <w:rPr>
        <w:color w:val="1F4E79"/>
        <w:sz w:val="20"/>
        <w:szCs w:val="20"/>
      </w:rPr>
      <w:t xml:space="preserve"> </w:t>
    </w:r>
    <w:r>
      <w:rPr>
        <w:color w:val="1F4E79"/>
        <w:sz w:val="20"/>
        <w:szCs w:val="20"/>
      </w:rPr>
      <w:fldChar w:fldCharType="begin"/>
    </w:r>
    <w:r>
      <w:rPr>
        <w:color w:val="1F4E79"/>
        <w:sz w:val="20"/>
        <w:szCs w:val="20"/>
      </w:rPr>
      <w:instrText>NUMPAGES</w:instrText>
    </w:r>
    <w:r>
      <w:rPr>
        <w:color w:val="1F4E79"/>
        <w:sz w:val="20"/>
        <w:szCs w:val="20"/>
      </w:rPr>
      <w:fldChar w:fldCharType="separate"/>
    </w:r>
    <w:r w:rsidR="00DB61AD">
      <w:rPr>
        <w:color w:val="1F4E79"/>
        <w:sz w:val="20"/>
        <w:szCs w:val="20"/>
      </w:rPr>
      <w:t>3</w:t>
    </w:r>
    <w:r>
      <w:rPr>
        <w:color w:val="1F4E7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B340D" w14:textId="77777777" w:rsidR="00AA10BD" w:rsidRDefault="00AA10BD">
      <w:pPr>
        <w:spacing w:before="0" w:line="240" w:lineRule="auto"/>
      </w:pPr>
      <w:r>
        <w:separator/>
      </w:r>
    </w:p>
  </w:footnote>
  <w:footnote w:type="continuationSeparator" w:id="0">
    <w:p w14:paraId="42DD0A58" w14:textId="77777777" w:rsidR="00AA10BD" w:rsidRDefault="00AA10B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ED887" w14:textId="77777777" w:rsidR="0092650B" w:rsidRDefault="0092650B">
    <w:pPr>
      <w:tabs>
        <w:tab w:val="center" w:pos="5040"/>
        <w:tab w:val="right" w:pos="9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1748C" w14:textId="77777777" w:rsidR="0092650B" w:rsidRDefault="005651BB">
    <w:pPr>
      <w:tabs>
        <w:tab w:val="center" w:pos="5040"/>
        <w:tab w:val="right" w:pos="9810"/>
      </w:tabs>
    </w:pPr>
    <w:r>
      <w:rPr>
        <w:noProof/>
      </w:rPr>
      <w:drawing>
        <wp:inline distT="114300" distB="114300" distL="114300" distR="114300" wp14:anchorId="76EA3788" wp14:editId="12614B4E">
          <wp:extent cx="1962150" cy="8382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6666" t="17948" r="7083" b="-23972"/>
                  <a:stretch>
                    <a:fillRect/>
                  </a:stretch>
                </pic:blipFill>
                <pic:spPr>
                  <a:xfrm>
                    <a:off x="0" y="0"/>
                    <a:ext cx="1962150" cy="838200"/>
                  </a:xfrm>
                  <a:prstGeom prst="rect">
                    <a:avLst/>
                  </a:prstGeom>
                  <a:ln/>
                </pic:spPr>
              </pic:pic>
            </a:graphicData>
          </a:graphic>
        </wp:inline>
      </w:drawing>
    </w:r>
    <w:r>
      <w:tab/>
    </w:r>
    <w:r>
      <w:tab/>
    </w:r>
    <w:r>
      <w:rPr>
        <w:noProof/>
      </w:rPr>
      <w:drawing>
        <wp:anchor distT="114300" distB="114300" distL="114300" distR="114300" simplePos="0" relativeHeight="251658240" behindDoc="0" locked="0" layoutInCell="1" hidden="0" allowOverlap="1" wp14:anchorId="39929C38" wp14:editId="487FE29D">
          <wp:simplePos x="0" y="0"/>
          <wp:positionH relativeFrom="column">
            <wp:posOffset>4572000</wp:posOffset>
          </wp:positionH>
          <wp:positionV relativeFrom="paragraph">
            <wp:posOffset>-9524</wp:posOffset>
          </wp:positionV>
          <wp:extent cx="1614747" cy="52863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6250" t="12857" r="6250" b="15714"/>
                  <a:stretch>
                    <a:fillRect/>
                  </a:stretch>
                </pic:blipFill>
                <pic:spPr>
                  <a:xfrm>
                    <a:off x="0" y="0"/>
                    <a:ext cx="1614747" cy="528638"/>
                  </a:xfrm>
                  <a:prstGeom prst="rect">
                    <a:avLst/>
                  </a:prstGeom>
                  <a:ln/>
                </pic:spPr>
              </pic:pic>
            </a:graphicData>
          </a:graphic>
        </wp:anchor>
      </w:drawing>
    </w:r>
  </w:p>
  <w:p w14:paraId="7F810CED" w14:textId="77777777" w:rsidR="0092650B" w:rsidRDefault="0092650B">
    <w:pPr>
      <w:tabs>
        <w:tab w:val="center" w:pos="5040"/>
        <w:tab w:val="right" w:pos="9810"/>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80B47"/>
    <w:multiLevelType w:val="multilevel"/>
    <w:tmpl w:val="C4822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E603DB"/>
    <w:multiLevelType w:val="multilevel"/>
    <w:tmpl w:val="5484E2E6"/>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0B"/>
    <w:rsid w:val="000F6B95"/>
    <w:rsid w:val="0039127B"/>
    <w:rsid w:val="004013AA"/>
    <w:rsid w:val="00452675"/>
    <w:rsid w:val="004835E6"/>
    <w:rsid w:val="005651BB"/>
    <w:rsid w:val="00781BAF"/>
    <w:rsid w:val="007B3C65"/>
    <w:rsid w:val="00856B5F"/>
    <w:rsid w:val="0092650B"/>
    <w:rsid w:val="00A13A58"/>
    <w:rsid w:val="00AA10BD"/>
    <w:rsid w:val="00B05531"/>
    <w:rsid w:val="00B130DC"/>
    <w:rsid w:val="00BD2B86"/>
    <w:rsid w:val="00C76E6A"/>
    <w:rsid w:val="00D32F8C"/>
    <w:rsid w:val="00DB61AD"/>
    <w:rsid w:val="00E32BB9"/>
    <w:rsid w:val="00EF08E6"/>
    <w:rsid w:val="00F34277"/>
    <w:rsid w:val="00F520A6"/>
    <w:rsid w:val="00F6693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57D1"/>
  <w15:docId w15:val="{CE48D9D6-15D0-C244-95A7-B5014218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FR" w:eastAsia="en-GB" w:bidi="ar-SA"/>
      </w:rPr>
    </w:rPrDefault>
    <w:pPrDefault>
      <w:pPr>
        <w:spacing w:before="120" w:line="27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1F4E79"/>
      <w:sz w:val="30"/>
      <w:szCs w:val="30"/>
    </w:rPr>
  </w:style>
  <w:style w:type="paragraph" w:styleId="Heading2">
    <w:name w:val="heading 2"/>
    <w:basedOn w:val="Normal"/>
    <w:next w:val="Normal"/>
    <w:uiPriority w:val="9"/>
    <w:unhideWhenUsed/>
    <w:qFormat/>
    <w:pPr>
      <w:keepNext/>
      <w:keepLines/>
      <w:outlineLvl w:val="1"/>
    </w:pPr>
    <w:rPr>
      <w:b/>
      <w:color w:val="1F4E79"/>
      <w:sz w:val="26"/>
      <w:szCs w:val="26"/>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single" w:sz="4" w:space="1" w:color="1F4E79"/>
        <w:bottom w:val="single" w:sz="4" w:space="1" w:color="1F4E79"/>
      </w:pBdr>
      <w:spacing w:after="200"/>
    </w:pPr>
    <w:rPr>
      <w:b/>
      <w:color w:val="1F4E79"/>
      <w:sz w:val="30"/>
      <w:szCs w:val="30"/>
      <w:highlight w:val="yellow"/>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OC2">
    <w:name w:val="toc 2"/>
    <w:basedOn w:val="Normal"/>
    <w:next w:val="Normal"/>
    <w:autoRedefine/>
    <w:uiPriority w:val="39"/>
    <w:unhideWhenUsed/>
    <w:rsid w:val="00F66937"/>
    <w:pPr>
      <w:spacing w:after="100"/>
      <w:ind w:left="240"/>
    </w:pPr>
  </w:style>
  <w:style w:type="paragraph" w:styleId="TOC4">
    <w:name w:val="toc 4"/>
    <w:basedOn w:val="Normal"/>
    <w:next w:val="Normal"/>
    <w:autoRedefine/>
    <w:uiPriority w:val="39"/>
    <w:unhideWhenUsed/>
    <w:rsid w:val="00F66937"/>
    <w:pPr>
      <w:tabs>
        <w:tab w:val="right" w:pos="9736"/>
      </w:tabs>
      <w:spacing w:after="100"/>
      <w:ind w:left="720"/>
    </w:pPr>
    <w:rPr>
      <w:noProof/>
    </w:rPr>
  </w:style>
  <w:style w:type="character" w:styleId="Hyperlink">
    <w:name w:val="Hyperlink"/>
    <w:basedOn w:val="DefaultParagraphFont"/>
    <w:uiPriority w:val="99"/>
    <w:unhideWhenUsed/>
    <w:rsid w:val="00F66937"/>
    <w:rPr>
      <w:color w:val="0000FF" w:themeColor="hyperlink"/>
      <w:u w:val="single"/>
    </w:rPr>
  </w:style>
  <w:style w:type="paragraph" w:styleId="Header">
    <w:name w:val="header"/>
    <w:basedOn w:val="Normal"/>
    <w:link w:val="HeaderChar"/>
    <w:uiPriority w:val="99"/>
    <w:unhideWhenUsed/>
    <w:rsid w:val="00C76E6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76E6A"/>
  </w:style>
  <w:style w:type="paragraph" w:styleId="Footer">
    <w:name w:val="footer"/>
    <w:basedOn w:val="Normal"/>
    <w:link w:val="FooterChar"/>
    <w:uiPriority w:val="99"/>
    <w:unhideWhenUsed/>
    <w:rsid w:val="00C76E6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76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ac.icann.org/working-group/gac-focal-group-on-subsequent-rounds-of-new-gtlds" TargetMode="External"/><Relationship Id="rId13" Type="http://schemas.openxmlformats.org/officeDocument/2006/relationships/hyperlink" Target="https://gac.icann.org/working-group/gac-public-safety-working-group-pswg"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gac.icann.org/working-group/gac-working-groups-on-human-rights-and-international-law-hril-wg" TargetMode="External"/><Relationship Id="rId12" Type="http://schemas.openxmlformats.org/officeDocument/2006/relationships/hyperlink" Target="https://gac.icann.org/working-group/gac-working-group-to-examine-the-gac-s-participation-in-nom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c.icann.org/working-group/gac-working-group-to-examine-the-protection-of-geographic-names-in-any-future-expansion-of-gtlds" TargetMode="External"/><Relationship Id="rId5" Type="http://schemas.openxmlformats.org/officeDocument/2006/relationships/footnotes" Target="footnotes.xml"/><Relationship Id="rId15" Type="http://schemas.openxmlformats.org/officeDocument/2006/relationships/hyperlink" Target="https://gac.icann.org/operating-principles/operating-principles-june-2017" TargetMode="External"/><Relationship Id="rId10" Type="http://schemas.openxmlformats.org/officeDocument/2006/relationships/hyperlink" Target="https://gac.icann.org/working-group/gac-working-groups-on-under-served-regions-usr-w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ac.icann.org/working-group/gac-operating-principles-evolution-working-group-gope-wg" TargetMode="External"/><Relationship Id="rId14" Type="http://schemas.openxmlformats.org/officeDocument/2006/relationships/hyperlink" Target="https://gac.icann.org/working-group/gac-universal-acceptance-and-internationalized-domain-names-working-group-ua-idn-w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5732</Characters>
  <Application>Microsoft Office Word</Application>
  <DocSecurity>0</DocSecurity>
  <Lines>47</Lines>
  <Paragraphs>13</Paragraphs>
  <ScaleCrop>false</ScaleCrop>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Charvolen</cp:lastModifiedBy>
  <cp:revision>2</cp:revision>
  <dcterms:created xsi:type="dcterms:W3CDTF">2020-06-10T13:19:00Z</dcterms:created>
  <dcterms:modified xsi:type="dcterms:W3CDTF">2020-06-10T13:19:00Z</dcterms:modified>
</cp:coreProperties>
</file>